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A3B185">
      <w:pPr>
        <w:rPr>
          <w:rFonts w:hint="default" w:ascii="Times New Roman" w:hAnsi="Times New Roman" w:cs="Times New Roman"/>
        </w:rPr>
      </w:pPr>
    </w:p>
    <w:p w14:paraId="5996F601">
      <w:pPr>
        <w:bidi w:val="0"/>
        <w:rPr>
          <w:rFonts w:hint="default" w:ascii="Times New Roman" w:hAnsi="Times New Roman" w:eastAsia="仿宋" w:cs="Times New Roman"/>
          <w:sz w:val="22"/>
          <w:szCs w:val="22"/>
          <w:lang w:val="zh-CN" w:eastAsia="zh-CN" w:bidi="zh-CN"/>
        </w:rPr>
      </w:pPr>
    </w:p>
    <w:p w14:paraId="195D0721">
      <w:pPr>
        <w:spacing w:before="209"/>
        <w:ind w:right="0"/>
        <w:jc w:val="left"/>
        <w:outlineLvl w:val="9"/>
        <w:rPr>
          <w:rFonts w:hint="default" w:ascii="Times New Roman" w:hAnsi="Times New Roman" w:eastAsia="仿宋" w:cs="Times New Roman"/>
          <w:b/>
          <w:color w:val="auto"/>
          <w:sz w:val="32"/>
          <w:szCs w:val="24"/>
          <w:lang w:val="en-US" w:eastAsia="zh-CN" w:bidi="zh-CN"/>
        </w:rPr>
      </w:pPr>
      <w:r>
        <w:rPr>
          <w:rFonts w:hint="default" w:ascii="Times New Roman" w:hAnsi="Times New Roman" w:eastAsia="仿宋" w:cs="Times New Roman"/>
          <w:b/>
          <w:color w:val="auto"/>
          <w:sz w:val="32"/>
          <w:szCs w:val="24"/>
          <w:lang w:val="en-US" w:eastAsia="zh-CN" w:bidi="zh-CN"/>
        </w:rPr>
        <w:t>合同编号：</w:t>
      </w:r>
    </w:p>
    <w:p w14:paraId="58C6C296">
      <w:pPr>
        <w:pStyle w:val="8"/>
        <w:rPr>
          <w:rFonts w:hint="default" w:ascii="Times New Roman" w:hAnsi="Times New Roman" w:cs="Times New Roman"/>
          <w:b/>
          <w:sz w:val="52"/>
          <w:szCs w:val="52"/>
        </w:rPr>
      </w:pPr>
    </w:p>
    <w:p w14:paraId="16FBAF42">
      <w:pPr>
        <w:pStyle w:val="8"/>
        <w:rPr>
          <w:rFonts w:hint="default" w:ascii="Times New Roman" w:hAnsi="Times New Roman" w:cs="Times New Roman"/>
          <w:b/>
          <w:sz w:val="52"/>
          <w:szCs w:val="52"/>
        </w:rPr>
      </w:pPr>
    </w:p>
    <w:p w14:paraId="2FB85D1F">
      <w:pPr>
        <w:rPr>
          <w:rFonts w:hint="default" w:ascii="Times New Roman" w:hAnsi="Times New Roman" w:cs="Times New Roman"/>
          <w:b/>
          <w:sz w:val="52"/>
          <w:szCs w:val="52"/>
        </w:rPr>
      </w:pPr>
    </w:p>
    <w:p w14:paraId="6CF2300A">
      <w:pPr>
        <w:rPr>
          <w:rFonts w:hint="default" w:ascii="Times New Roman" w:hAnsi="Times New Roman" w:cs="Times New Roman"/>
          <w:b/>
          <w:sz w:val="52"/>
          <w:szCs w:val="52"/>
        </w:rPr>
      </w:pPr>
    </w:p>
    <w:p w14:paraId="46A0B689">
      <w:pPr>
        <w:rPr>
          <w:rFonts w:hint="default" w:ascii="Times New Roman" w:hAnsi="Times New Roman" w:cs="Times New Roman"/>
          <w:b/>
          <w:sz w:val="52"/>
          <w:szCs w:val="52"/>
        </w:rPr>
      </w:pPr>
    </w:p>
    <w:p w14:paraId="577EF6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right="40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eastAsia="zh-CN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公司2026年度“领英”人员管理能力与“雄英”人员检测智能化能力进阶培训服务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eastAsia="zh-CN"/>
        </w:rPr>
        <w:t>外部供应采购项目</w:t>
      </w:r>
    </w:p>
    <w:p w14:paraId="0B1B19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right="40"/>
        <w:jc w:val="center"/>
        <w:textAlignment w:val="auto"/>
        <w:outlineLvl w:val="9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  <w:t>外部采购合同</w:t>
      </w:r>
    </w:p>
    <w:p w14:paraId="7D6E72FE">
      <w:pPr>
        <w:pStyle w:val="8"/>
        <w:rPr>
          <w:rFonts w:hint="default" w:ascii="Times New Roman" w:hAnsi="Times New Roman" w:cs="Times New Roman"/>
          <w:b/>
          <w:sz w:val="52"/>
          <w:szCs w:val="52"/>
        </w:rPr>
      </w:pPr>
    </w:p>
    <w:p w14:paraId="29D36C2F">
      <w:pPr>
        <w:pStyle w:val="8"/>
        <w:rPr>
          <w:rFonts w:hint="default" w:ascii="Times New Roman" w:hAnsi="Times New Roman" w:cs="Times New Roman"/>
          <w:b/>
          <w:sz w:val="52"/>
          <w:szCs w:val="52"/>
        </w:rPr>
      </w:pPr>
    </w:p>
    <w:p w14:paraId="7877B6DB">
      <w:pPr>
        <w:pStyle w:val="8"/>
        <w:rPr>
          <w:rFonts w:hint="default" w:ascii="Times New Roman" w:hAnsi="Times New Roman" w:cs="Times New Roman"/>
          <w:b/>
          <w:sz w:val="52"/>
          <w:szCs w:val="52"/>
        </w:rPr>
      </w:pPr>
    </w:p>
    <w:p w14:paraId="2A6473B3">
      <w:pPr>
        <w:pStyle w:val="8"/>
        <w:rPr>
          <w:rFonts w:hint="default" w:ascii="Times New Roman" w:hAnsi="Times New Roman" w:cs="Times New Roman"/>
          <w:b/>
          <w:sz w:val="52"/>
          <w:szCs w:val="52"/>
        </w:rPr>
      </w:pPr>
    </w:p>
    <w:p w14:paraId="21DA62B7">
      <w:pPr>
        <w:pStyle w:val="8"/>
        <w:rPr>
          <w:rFonts w:hint="default" w:ascii="Times New Roman" w:hAnsi="Times New Roman" w:cs="Times New Roman"/>
          <w:b/>
          <w:sz w:val="52"/>
          <w:szCs w:val="52"/>
        </w:rPr>
      </w:pPr>
    </w:p>
    <w:p w14:paraId="3B382CEE">
      <w:pPr>
        <w:pStyle w:val="8"/>
        <w:rPr>
          <w:rFonts w:hint="default" w:ascii="Times New Roman" w:hAnsi="Times New Roman" w:cs="Times New Roman"/>
          <w:b/>
          <w:sz w:val="52"/>
          <w:szCs w:val="52"/>
        </w:rPr>
      </w:pPr>
    </w:p>
    <w:p w14:paraId="259AAD5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firstLine="1285" w:firstLineChars="400"/>
        <w:jc w:val="left"/>
        <w:textAlignment w:val="auto"/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</w:rPr>
      </w:pPr>
      <w:r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</w:rPr>
        <w:t>甲方：</w:t>
      </w:r>
      <w:r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  <w:u w:val="single"/>
        </w:rPr>
        <w:t>四川济通工程试验检测有限公司</w:t>
      </w:r>
    </w:p>
    <w:p w14:paraId="39F7B3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firstLine="1285" w:firstLineChars="400"/>
        <w:jc w:val="left"/>
        <w:textAlignment w:val="auto"/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</w:rPr>
        <w:t>乙方：</w:t>
      </w:r>
      <w:r>
        <w:rPr>
          <w:rFonts w:hint="eastAsia" w:ascii="Times New Roman" w:hAnsi="Times New Roman" w:cs="Times New Roman"/>
          <w:b w:val="0"/>
          <w:bCs w:val="0"/>
          <w:kern w:val="0"/>
          <w:sz w:val="32"/>
          <w:szCs w:val="32"/>
          <w:u w:val="single"/>
          <w:lang w:val="en-US" w:eastAsia="zh-CN"/>
        </w:rPr>
        <w:t xml:space="preserve">                                                       </w:t>
      </w:r>
    </w:p>
    <w:p w14:paraId="6EB0DC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left="0" w:firstLine="1285" w:firstLineChars="400"/>
        <w:jc w:val="left"/>
        <w:textAlignment w:val="auto"/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  <w:u w:val="single"/>
        </w:rPr>
      </w:pPr>
      <w:r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</w:rPr>
        <w:t>签订日期：</w:t>
      </w:r>
      <w:r>
        <w:rPr>
          <w:rFonts w:hint="default" w:ascii="Times New Roman" w:hAnsi="Times New Roman" w:cs="Times New Roman"/>
          <w:b/>
          <w:bCs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b/>
          <w:bCs/>
          <w:ker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cs="Times New Roman"/>
          <w:b/>
          <w:bCs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  <w:u w:val="single"/>
        </w:rPr>
        <w:t>年</w:t>
      </w:r>
      <w:r>
        <w:rPr>
          <w:rFonts w:hint="default" w:ascii="Times New Roman" w:hAnsi="Times New Roman" w:cs="Times New Roman"/>
          <w:b/>
          <w:bCs/>
          <w:kern w:val="0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b/>
          <w:bCs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b/>
          <w:bCs/>
          <w:kern w:val="0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  <w:u w:val="single"/>
        </w:rPr>
        <w:t>月</w:t>
      </w:r>
      <w:r>
        <w:rPr>
          <w:rFonts w:hint="default" w:ascii="Times New Roman" w:hAnsi="Times New Roman" w:cs="Times New Roman"/>
          <w:b/>
          <w:bCs/>
          <w:ker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Times New Roman" w:hAnsi="Times New Roman" w:cs="Times New Roman"/>
          <w:b/>
          <w:bCs/>
          <w:kern w:val="0"/>
          <w:sz w:val="32"/>
          <w:szCs w:val="32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eastAsia="仿宋" w:cs="Times New Roman"/>
          <w:b/>
          <w:bCs/>
          <w:kern w:val="0"/>
          <w:sz w:val="32"/>
          <w:szCs w:val="32"/>
          <w:u w:val="single"/>
        </w:rPr>
        <w:t>日</w:t>
      </w:r>
    </w:p>
    <w:p w14:paraId="2A660E5A">
      <w:pPr>
        <w:rPr>
          <w:rFonts w:hint="default" w:ascii="Times New Roman" w:hAnsi="Times New Roman" w:cs="Times New Roman"/>
          <w:b/>
          <w:color w:val="auto"/>
          <w:sz w:val="32"/>
        </w:rPr>
      </w:pPr>
      <w:r>
        <w:rPr>
          <w:rFonts w:hint="default" w:ascii="Times New Roman" w:hAnsi="Times New Roman" w:cs="Times New Roman"/>
          <w:b/>
          <w:color w:val="auto"/>
          <w:sz w:val="32"/>
        </w:rPr>
        <w:br w:type="page"/>
      </w:r>
    </w:p>
    <w:p w14:paraId="7F243F77">
      <w:pPr>
        <w:ind w:right="399"/>
        <w:outlineLvl w:val="9"/>
        <w:rPr>
          <w:rFonts w:hint="default" w:ascii="Times New Roman" w:hAnsi="Times New Roman" w:eastAsia="宋体" w:cs="Times New Roman"/>
          <w:spacing w:val="-3"/>
          <w:lang w:val="en-US"/>
        </w:rPr>
      </w:pPr>
    </w:p>
    <w:p w14:paraId="4724EF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240" w:lineRule="auto"/>
        <w:ind w:right="40"/>
        <w:jc w:val="center"/>
        <w:textAlignment w:val="auto"/>
        <w:rPr>
          <w:rFonts w:hint="default" w:ascii="Times New Roman" w:hAnsi="Times New Roman" w:eastAsia="宋体" w:cs="Times New Roman"/>
          <w:b/>
          <w:sz w:val="28"/>
        </w:rPr>
      </w:pP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val="en-US" w:eastAsia="zh-CN"/>
        </w:rPr>
        <w:t>外部采购合同</w:t>
      </w:r>
    </w:p>
    <w:p w14:paraId="38CB488D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54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pacing w:val="-7"/>
          <w:sz w:val="24"/>
          <w:szCs w:val="24"/>
        </w:rPr>
        <w:t>甲方</w:t>
      </w:r>
      <w:r>
        <w:rPr>
          <w:rFonts w:hint="default" w:ascii="Times New Roman" w:hAnsi="Times New Roman" w:eastAsia="宋体" w:cs="Times New Roman"/>
          <w:b/>
          <w:bCs/>
          <w:spacing w:val="-64"/>
          <w:sz w:val="24"/>
          <w:szCs w:val="24"/>
        </w:rPr>
        <w:t>：</w:t>
      </w:r>
      <w:r>
        <w:rPr>
          <w:rFonts w:hint="default" w:ascii="Times New Roman" w:hAnsi="Times New Roman" w:eastAsia="宋体" w:cs="Times New Roman"/>
          <w:b/>
          <w:bCs/>
          <w:spacing w:val="0"/>
          <w:sz w:val="24"/>
          <w:szCs w:val="24"/>
        </w:rPr>
        <w:t>四川济通工程试验检测有限公司</w:t>
      </w:r>
    </w:p>
    <w:p w14:paraId="0D163A67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62" w:firstLineChars="200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/>
          <w:bCs/>
          <w:spacing w:val="-5"/>
          <w:sz w:val="24"/>
          <w:szCs w:val="24"/>
        </w:rPr>
        <w:t>乙方</w:t>
      </w:r>
      <w:r>
        <w:rPr>
          <w:rFonts w:hint="default" w:ascii="Times New Roman" w:hAnsi="Times New Roman" w:eastAsia="宋体" w:cs="Times New Roman"/>
          <w:b/>
          <w:bCs/>
          <w:spacing w:val="-48"/>
          <w:sz w:val="24"/>
          <w:szCs w:val="24"/>
        </w:rPr>
        <w:t>：</w:t>
      </w:r>
    </w:p>
    <w:p w14:paraId="31D01E4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</w:p>
    <w:p w14:paraId="7EF138D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依据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《中华人民共和国民法典》等有关法律、法规、规章的规定，甲乙双方本着平等自愿、公平诚信、互利共赢的原则，就甲方2026年度</w:t>
      </w:r>
      <w:r>
        <w:rPr>
          <w:rFonts w:hint="eastAsia" w:ascii="Times New Roman" w:hAnsi="Times New Roman" w:eastAsia="宋体" w:cs="Times New Roman"/>
          <w:sz w:val="24"/>
          <w:szCs w:val="24"/>
          <w:lang w:val="zh-CN" w:eastAsia="zh-CN" w:bidi="zh-CN"/>
        </w:rPr>
        <w:t>“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领英</w:t>
      </w:r>
      <w:r>
        <w:rPr>
          <w:rFonts w:hint="eastAsia" w:ascii="Times New Roman" w:hAnsi="Times New Roman" w:eastAsia="宋体" w:cs="Times New Roman"/>
          <w:sz w:val="24"/>
          <w:szCs w:val="24"/>
          <w:lang w:val="zh-CN" w:eastAsia="zh-CN" w:bidi="zh-CN"/>
        </w:rPr>
        <w:t>”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人员管理能力与</w:t>
      </w:r>
      <w:r>
        <w:rPr>
          <w:rFonts w:hint="eastAsia" w:ascii="Times New Roman" w:hAnsi="Times New Roman" w:eastAsia="宋体" w:cs="Times New Roman"/>
          <w:sz w:val="24"/>
          <w:szCs w:val="24"/>
          <w:lang w:val="zh-CN" w:eastAsia="zh-CN" w:bidi="zh-CN"/>
        </w:rPr>
        <w:t>“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雄英</w:t>
      </w:r>
      <w:r>
        <w:rPr>
          <w:rFonts w:hint="eastAsia" w:ascii="Times New Roman" w:hAnsi="Times New Roman" w:eastAsia="宋体" w:cs="Times New Roman"/>
          <w:sz w:val="24"/>
          <w:szCs w:val="24"/>
          <w:lang w:val="zh-CN" w:eastAsia="zh-CN" w:bidi="zh-CN"/>
        </w:rPr>
        <w:t>”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人员检测智能化能力进阶培训服务采购事宜，经双方友好协商，订立本合同，供双方遵照执行。</w:t>
      </w:r>
    </w:p>
    <w:p w14:paraId="47C4B444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50" w:firstLineChars="200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第一条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 xml:space="preserve"> 服务内容</w:t>
      </w:r>
    </w:p>
    <w:p w14:paraId="1E68B5A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1.甲方委托乙方提供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培训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服务，包含师资、教材、物料、场地、餐费、管理费、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税费、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人工、组织服务、成果归档等完成本项目全部服务的所有费用，所有费用均含在清单报价内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。</w:t>
      </w:r>
    </w:p>
    <w:p w14:paraId="41DAE95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（1）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“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领英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”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人员管理能力提升培训：针对甲方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“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领英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”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在岗人员开展专项管理能力提升培训，培训总时长为3天，需结合甲方岗位需求定制课程内容，完成全程授课与配套服务；</w:t>
      </w:r>
    </w:p>
    <w:p w14:paraId="04A581D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（2）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“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雄英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”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人员检测智能化能力进阶培训：针对甲方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“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雄英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”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在岗人员开展检测智能化能力进阶专项培训，培训总时长为2天，贴合甲方检测岗位智能化工作需求设计课程，完成全程授课与配套服务；</w:t>
      </w:r>
    </w:p>
    <w:p w14:paraId="54257CE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（3）配套服务内容：乙方服务范围包含但不限于专属课程方案设计、资深师资对接与授课、定制培训教材及学习资料编制、培训场地规划布置、全套培训物料筹备、培训现场全程组织统筹、参训人员结业考核、培训数据统计、培训成果资料汇总整理、归档交付等完成本项目培训服务所需的全部工作。</w:t>
      </w:r>
    </w:p>
    <w:p w14:paraId="3E87FCC6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50" w:firstLineChars="200"/>
        <w:textAlignment w:val="auto"/>
        <w:outlineLvl w:val="0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第二条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 xml:space="preserve"> 工期要求</w:t>
      </w:r>
    </w:p>
    <w:p w14:paraId="594A7F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1.“领英”人员管理能力培训：为期3天，预计10月开展，具体时间以工作通知单为准；</w:t>
      </w:r>
    </w:p>
    <w:p w14:paraId="0AD71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2.“雄英”人员检测智能化能力进阶培训：为期2天，预计10月开展，具体时间以工作通知单为准；</w:t>
      </w:r>
    </w:p>
    <w:p w14:paraId="4E2C481C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50" w:firstLineChars="200"/>
        <w:textAlignment w:val="auto"/>
        <w:outlineLvl w:val="0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第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eastAsia="zh-CN"/>
        </w:rPr>
        <w:t>三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条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实施规则</w:t>
      </w:r>
    </w:p>
    <w:p w14:paraId="381D522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1. 本合同项下两项培训子服务可分阶段独立实施、互不制约，甲方可根据工作安排，分批次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开展培训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，乙方须严格按照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甲方要求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的时间、地点、服务标准、人员要求完成对应培训服务，不得擅自变更、延期或缩减服务内容。</w:t>
      </w:r>
    </w:p>
    <w:p w14:paraId="04DAED8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 xml:space="preserve"> 甲方拥有自主选择权，可根据实际工作需求选择实施全部两项子服务，或单独实施任意一项子服务。本项目无最低工作量保障，所有服务费用按乙方实际完成且经甲方验收合格的工作量据实结算。未启动、未实施的子服务不产生任何费用，乙方对此无任何异议，不得向甲方主张违约金、补偿金、预期收益等任何费用。</w:t>
      </w:r>
    </w:p>
    <w:p w14:paraId="7BCC3979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50" w:firstLineChars="200"/>
        <w:textAlignment w:val="auto"/>
        <w:outlineLvl w:val="0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第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eastAsia="zh-CN"/>
        </w:rPr>
        <w:t>四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条</w:t>
      </w:r>
      <w:r>
        <w:rPr>
          <w:rFonts w:hint="eastAsia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 xml:space="preserve"> 验收标准与方式</w:t>
      </w:r>
    </w:p>
    <w:p w14:paraId="07D1C57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1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本项目两项子服务实行分阶段独立实施、独立验收模式，单批次、单子服务培训结束后，乙方整理完整培训成果资料，向甲方提交验收申请。</w:t>
      </w:r>
    </w:p>
    <w:p w14:paraId="0C9B05B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甲方收到验收申请后5个工作日内组织验收，验收内容包含培训出勤情况、授课质量、课程贴合度、物料配套、现场服务、考核结果、成果归档资料完整性等。</w:t>
      </w:r>
    </w:p>
    <w:p w14:paraId="746858D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验收合格标准：乙方完全按照甲方工作通知单及合同约定完成全部服务内容，培训成果资料齐全、规范，参训人员及甲方对接部门无有效投诉，培训达到预期效果。验收不合格的，乙方须在甲方指定期限内无偿整改、返工，直至验收合格，因此产生的一切费用由乙方自行承担，且不得顺延服务周期。</w:t>
      </w:r>
    </w:p>
    <w:p w14:paraId="1FF996DD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50" w:firstLineChars="200"/>
        <w:textAlignment w:val="auto"/>
        <w:outlineLvl w:val="0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第</w:t>
      </w:r>
      <w:r>
        <w:rPr>
          <w:rFonts w:hint="eastAsia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>五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条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>合同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价款及付款方式</w:t>
      </w:r>
    </w:p>
    <w:p w14:paraId="2786948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1.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本合同为单价合同，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各子服务分阶段独立验收、独立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据实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结算；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合同不含税金额暂定为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XXX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元（大写：人民币捌万柒仟柒佰元整），税率为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X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%，含税总金额为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XXX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元（大写：人民币玖万贰仟玖佰陆拾贰元整），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最终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金额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按照乙方实际完成并经甲方验收合格的工作量进行核算</w:t>
      </w:r>
      <w:r>
        <w:rPr>
          <w:rFonts w:hint="eastAsia" w:ascii="Times New Roman" w:hAnsi="Times New Roman" w:eastAsia="宋体" w:cs="Times New Roman"/>
          <w:sz w:val="24"/>
          <w:szCs w:val="24"/>
          <w:lang w:val="zh-CN" w:eastAsia="zh-CN" w:bidi="zh-CN"/>
        </w:rPr>
        <w:t>，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各项服务单价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详见清单。</w:t>
      </w:r>
    </w:p>
    <w:p w14:paraId="60D79B9D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2.若因国家税收政策调整导致增值税税率发生变动，合同不含税价款保持不变，合同总价款按调整后的适用增值税税率相应调整。除前述国家政策原因外，因其他任何情形造成税率变化、税金增加的，增加部分税金由乙方自行承担。</w:t>
      </w:r>
    </w:p>
    <w:p w14:paraId="3EBC4F1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4FC5A5A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155A7691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508068D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01A9EAC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3A83EEE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05F5D13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right="0" w:rightChars="0"/>
        <w:jc w:val="center"/>
        <w:textAlignment w:val="auto"/>
        <w:rPr>
          <w:rFonts w:hint="default" w:ascii="Times New Roman" w:hAnsi="Times New Roman" w:eastAsia="宋体" w:cs="Times New Roman"/>
          <w:b/>
          <w:bCs/>
          <w:sz w:val="32"/>
          <w:szCs w:val="3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 w:bidi="zh-CN"/>
        </w:rPr>
        <w:t>清  单1</w:t>
      </w:r>
    </w:p>
    <w:tbl>
      <w:tblPr>
        <w:tblStyle w:val="19"/>
        <w:tblW w:w="96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617"/>
        <w:gridCol w:w="841"/>
        <w:gridCol w:w="1147"/>
        <w:gridCol w:w="2847"/>
        <w:gridCol w:w="632"/>
        <w:gridCol w:w="559"/>
        <w:gridCol w:w="934"/>
        <w:gridCol w:w="854"/>
        <w:gridCol w:w="693"/>
      </w:tblGrid>
      <w:tr w14:paraId="213799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tblHeader/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7D229C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70A3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8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5738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培训层次</w:t>
            </w:r>
          </w:p>
        </w:tc>
        <w:tc>
          <w:tcPr>
            <w:tcW w:w="11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C91427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</w:t>
            </w:r>
          </w:p>
        </w:tc>
        <w:tc>
          <w:tcPr>
            <w:tcW w:w="28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71697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培训重点</w:t>
            </w:r>
          </w:p>
        </w:tc>
        <w:tc>
          <w:tcPr>
            <w:tcW w:w="6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503496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5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E7578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71FB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含税单价</w:t>
            </w:r>
          </w:p>
          <w:p w14:paraId="1DD66B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85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AE3FF9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含税总价</w:t>
            </w:r>
          </w:p>
          <w:p w14:paraId="2B3E47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8486E8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348E3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57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4FB848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7267B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教师授课费</w:t>
            </w:r>
          </w:p>
        </w:tc>
        <w:tc>
          <w:tcPr>
            <w:tcW w:w="8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5C8819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“领英”人员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94300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政治理论与政策法规专题学习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51B83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习近平新时代中国特色社会主义思想、国企改革与国资监管要求、党风廉政与意识形态工作、安全生产与合规管理</w:t>
            </w:r>
          </w:p>
        </w:tc>
        <w:tc>
          <w:tcPr>
            <w:tcW w:w="63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27A070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320CAD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93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F64B1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50FC3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3" w:type="dxa"/>
            <w:vMerge w:val="restart"/>
            <w:tcBorders>
              <w:top w:val="nil"/>
              <w:left w:val="nil"/>
              <w:right w:val="single" w:color="000000" w:sz="8" w:space="0"/>
            </w:tcBorders>
            <w:noWrap w:val="0"/>
            <w:vAlign w:val="center"/>
          </w:tcPr>
          <w:p w14:paraId="3DDE0AD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773F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  <w:jc w:val="center"/>
        </w:trPr>
        <w:tc>
          <w:tcPr>
            <w:tcW w:w="57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9A5A5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274230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AA7A9F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088F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“十五五”战略与行业发展研修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8DA9A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交通强国建设与检测行业趋势、智慧检测发展方向、同行业数字化转型典型案例与风险防控</w:t>
            </w:r>
          </w:p>
        </w:tc>
        <w:tc>
          <w:tcPr>
            <w:tcW w:w="63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6728D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4A4F5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D2C65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7F1627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dxa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50EC17D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9A71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  <w:jc w:val="center"/>
        </w:trPr>
        <w:tc>
          <w:tcPr>
            <w:tcW w:w="57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DE847F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DEA0FA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DE5B1E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FAC0DA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数字化管理与决策能力提升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C8E4B7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数据治理基础与数据驱动决策、数字化组织建设与团队管理</w:t>
            </w:r>
          </w:p>
        </w:tc>
        <w:tc>
          <w:tcPr>
            <w:tcW w:w="63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58F79E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9402F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0B7430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19F21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dxa"/>
            <w:vMerge w:val="continue"/>
            <w:tcBorders>
              <w:left w:val="nil"/>
              <w:right w:val="single" w:color="000000" w:sz="8" w:space="0"/>
            </w:tcBorders>
            <w:noWrap w:val="0"/>
            <w:vAlign w:val="center"/>
          </w:tcPr>
          <w:p w14:paraId="626A33B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60032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3" w:hRule="atLeast"/>
          <w:jc w:val="center"/>
        </w:trPr>
        <w:tc>
          <w:tcPr>
            <w:tcW w:w="57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4AF5D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37732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E21C9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66CB7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领导力与改革攻坚专项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80184F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国企改革深化提升行动要点；数字化项目管理与成本管控、风险防范；创新思维与跨部门协同管理</w:t>
            </w:r>
          </w:p>
        </w:tc>
        <w:tc>
          <w:tcPr>
            <w:tcW w:w="63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7981FA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CC581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885AA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EED5A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486CB22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0ED5A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1" w:hRule="atLeast"/>
          <w:jc w:val="center"/>
        </w:trPr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CEAB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FF7C7D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培训人员餐费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5EAB69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A29C9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45FB6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98699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人/天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2C892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4E7A2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2D7B9C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3856E6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2C0A3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8" w:hRule="atLeast"/>
          <w:jc w:val="center"/>
        </w:trPr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8CAB2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7CBFD9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场地使用费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0CFE25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1FD20B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AB539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0516B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9769D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121B4BE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371E77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2716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可容纳50-100人</w:t>
            </w:r>
          </w:p>
        </w:tc>
      </w:tr>
      <w:tr w14:paraId="406AE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1C7E1B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2B1EE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管理费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85C7ED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60A102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7622F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EDBE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人/天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15A10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A71F94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288C6F5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6DFF6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3天</w:t>
            </w:r>
          </w:p>
        </w:tc>
      </w:tr>
      <w:tr w14:paraId="3F78F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7213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9BC93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8D9787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69D467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D88F6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59DE31B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right="0" w:rightChars="0"/>
        <w:jc w:val="both"/>
        <w:textAlignment w:val="auto"/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04C7930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337" w:firstLineChars="18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zh-CN"/>
        </w:rPr>
      </w:pPr>
    </w:p>
    <w:p w14:paraId="6B237BC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337" w:firstLineChars="18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zh-CN"/>
        </w:rPr>
      </w:pPr>
    </w:p>
    <w:p w14:paraId="331B551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337" w:firstLineChars="18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zh-CN"/>
        </w:rPr>
      </w:pPr>
    </w:p>
    <w:p w14:paraId="3CE2D87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337" w:firstLineChars="18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zh-CN"/>
        </w:rPr>
      </w:pPr>
    </w:p>
    <w:p w14:paraId="4CEC0756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337" w:firstLineChars="18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zh-CN"/>
        </w:rPr>
      </w:pPr>
    </w:p>
    <w:p w14:paraId="3FD744C3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337" w:firstLineChars="18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zh-CN"/>
        </w:rPr>
      </w:pPr>
    </w:p>
    <w:p w14:paraId="25465C3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337" w:firstLineChars="18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zh-CN"/>
        </w:rPr>
      </w:pPr>
    </w:p>
    <w:p w14:paraId="3A57897E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337" w:firstLineChars="18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24"/>
          <w:szCs w:val="24"/>
          <w:lang w:val="en-US" w:eastAsia="zh-CN" w:bidi="zh-CN"/>
        </w:rPr>
      </w:pPr>
    </w:p>
    <w:p w14:paraId="1C898A94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right="0" w:rightChars="0" w:firstLine="3855" w:firstLineChars="1200"/>
        <w:jc w:val="both"/>
        <w:textAlignment w:val="auto"/>
        <w:rPr>
          <w:rFonts w:hint="default" w:ascii="Times New Roman" w:hAnsi="Times New Roman" w:eastAsia="宋体" w:cs="Times New Roman"/>
          <w:b/>
          <w:bCs/>
          <w:sz w:val="32"/>
          <w:szCs w:val="3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 w:bidi="zh-CN"/>
        </w:rPr>
        <w:t>清  单2</w:t>
      </w:r>
    </w:p>
    <w:tbl>
      <w:tblPr>
        <w:tblStyle w:val="19"/>
        <w:tblW w:w="96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0"/>
        <w:gridCol w:w="617"/>
        <w:gridCol w:w="841"/>
        <w:gridCol w:w="1147"/>
        <w:gridCol w:w="2847"/>
        <w:gridCol w:w="632"/>
        <w:gridCol w:w="559"/>
        <w:gridCol w:w="934"/>
        <w:gridCol w:w="854"/>
        <w:gridCol w:w="693"/>
      </w:tblGrid>
      <w:tr w14:paraId="360D3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0" w:hRule="atLeast"/>
          <w:tblHeader/>
          <w:jc w:val="center"/>
        </w:trPr>
        <w:tc>
          <w:tcPr>
            <w:tcW w:w="57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D31151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61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F8E099B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84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CDEFED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培训层次</w:t>
            </w:r>
          </w:p>
        </w:tc>
        <w:tc>
          <w:tcPr>
            <w:tcW w:w="11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58B04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课程</w:t>
            </w:r>
          </w:p>
        </w:tc>
        <w:tc>
          <w:tcPr>
            <w:tcW w:w="2847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5FCD8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培训重点</w:t>
            </w:r>
          </w:p>
        </w:tc>
        <w:tc>
          <w:tcPr>
            <w:tcW w:w="63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E0BF4E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单位</w:t>
            </w:r>
          </w:p>
        </w:tc>
        <w:tc>
          <w:tcPr>
            <w:tcW w:w="55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36DDCB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数量</w:t>
            </w:r>
          </w:p>
        </w:tc>
        <w:tc>
          <w:tcPr>
            <w:tcW w:w="93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F2360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含税单价</w:t>
            </w:r>
          </w:p>
          <w:p w14:paraId="1B2B2E2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85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8CA14A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含税总价</w:t>
            </w:r>
          </w:p>
          <w:p w14:paraId="03B5B161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（元）</w:t>
            </w:r>
          </w:p>
        </w:tc>
        <w:tc>
          <w:tcPr>
            <w:tcW w:w="693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05B2F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1528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  <w:jc w:val="center"/>
        </w:trPr>
        <w:tc>
          <w:tcPr>
            <w:tcW w:w="570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03D71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617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CDBD7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教师授课费</w:t>
            </w:r>
          </w:p>
        </w:tc>
        <w:tc>
          <w:tcPr>
            <w:tcW w:w="841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EB502A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“雄英”人员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6E6BF15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智能检测技术应用培训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4F926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人工智能在检测中的应用（图像识别、缺陷分析、基础建模等）；智能检测仪器操作与校准维护、自动化检测流程与数据采集报告生成</w:t>
            </w:r>
          </w:p>
        </w:tc>
        <w:tc>
          <w:tcPr>
            <w:tcW w:w="63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D6FCA5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</w:t>
            </w:r>
          </w:p>
        </w:tc>
        <w:tc>
          <w:tcPr>
            <w:tcW w:w="559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B393E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93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86F7B4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5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EE9CBB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3" w:type="dxa"/>
            <w:vMerge w:val="restart"/>
            <w:tcBorders>
              <w:top w:val="nil"/>
              <w:left w:val="nil"/>
              <w:right w:val="single" w:color="000000" w:sz="8" w:space="0"/>
            </w:tcBorders>
            <w:noWrap w:val="0"/>
            <w:vAlign w:val="center"/>
          </w:tcPr>
          <w:p w14:paraId="2D2C681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227087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4" w:hRule="atLeast"/>
          <w:jc w:val="center"/>
        </w:trPr>
        <w:tc>
          <w:tcPr>
            <w:tcW w:w="570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6E6F7F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17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75F02D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1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43E465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349BD5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人工智能与检测深度融合专项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D0029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实操层聚焦AI工具应用，管理层聚焦AI场景规划与评估</w:t>
            </w:r>
          </w:p>
        </w:tc>
        <w:tc>
          <w:tcPr>
            <w:tcW w:w="63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E60DCC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9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2130DB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93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09F87F1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5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9264FB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93" w:type="dxa"/>
            <w:vMerge w:val="continue"/>
            <w:tcBorders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2DD5C94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3ABBA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  <w:jc w:val="center"/>
        </w:trPr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784938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EBA7CE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培训人员餐费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33977E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D9F508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25AA81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BD9A6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人/天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B6DBD1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32757A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AF7C920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F67C8AE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2天</w:t>
            </w:r>
          </w:p>
        </w:tc>
      </w:tr>
      <w:tr w14:paraId="374E3D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6" w:hRule="atLeast"/>
          <w:jc w:val="center"/>
        </w:trPr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57DC8D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4EE45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场地使用费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CA0759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537108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C3F302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D11606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天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124E06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6E9D70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7DF86A9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B8DB10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可容纳50-100人</w:t>
            </w:r>
          </w:p>
        </w:tc>
      </w:tr>
      <w:tr w14:paraId="634446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57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389781D8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61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0DBBCA2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管理费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1622C9D9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11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34D54F0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284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0BC41D4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</w:p>
        </w:tc>
        <w:tc>
          <w:tcPr>
            <w:tcW w:w="632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294D89DC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人/天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4BCE68E3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28B4858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5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8767E97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93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098B6BA6">
            <w:pPr>
              <w:keepNext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2天</w:t>
            </w:r>
          </w:p>
        </w:tc>
      </w:tr>
      <w:tr w14:paraId="22A693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7213" w:type="dxa"/>
            <w:gridSpan w:val="7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6117B5C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合计（元）</w:t>
            </w:r>
          </w:p>
        </w:tc>
        <w:tc>
          <w:tcPr>
            <w:tcW w:w="9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5C15FCA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85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59C82A06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default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6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noWrap w:val="0"/>
            <w:vAlign w:val="center"/>
          </w:tcPr>
          <w:p w14:paraId="70F3376F">
            <w:pPr>
              <w:keepNext/>
              <w:keepLines w:val="0"/>
              <w:widowControl/>
              <w:suppressLineNumbers w:val="0"/>
              <w:snapToGrid w:val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</w:tbl>
    <w:p w14:paraId="66E67628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79C1A257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right="0" w:rightChars="0" w:firstLine="3855" w:firstLineChars="1200"/>
        <w:jc w:val="both"/>
        <w:textAlignment w:val="auto"/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 w:bidi="zh-CN"/>
        </w:rPr>
      </w:pPr>
      <w:r>
        <w:rPr>
          <w:rFonts w:hint="eastAsia" w:ascii="Times New Roman" w:hAnsi="Times New Roman" w:eastAsia="宋体" w:cs="Times New Roman"/>
          <w:b/>
          <w:bCs/>
          <w:sz w:val="32"/>
          <w:szCs w:val="32"/>
          <w:lang w:val="en-US" w:eastAsia="zh-CN" w:bidi="zh-CN"/>
        </w:rPr>
        <w:t>汇总表</w:t>
      </w:r>
    </w:p>
    <w:tbl>
      <w:tblPr>
        <w:tblStyle w:val="20"/>
        <w:tblW w:w="9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5508"/>
        <w:gridCol w:w="2512"/>
      </w:tblGrid>
      <w:tr w14:paraId="1F954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656" w:type="dxa"/>
            <w:vAlign w:val="center"/>
          </w:tcPr>
          <w:p w14:paraId="18CF3E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序  号</w:t>
            </w:r>
          </w:p>
        </w:tc>
        <w:tc>
          <w:tcPr>
            <w:tcW w:w="5508" w:type="dxa"/>
            <w:vAlign w:val="center"/>
          </w:tcPr>
          <w:p w14:paraId="2F190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总价（元）</w:t>
            </w:r>
          </w:p>
        </w:tc>
        <w:tc>
          <w:tcPr>
            <w:tcW w:w="2512" w:type="dxa"/>
            <w:vAlign w:val="center"/>
          </w:tcPr>
          <w:p w14:paraId="7167DD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备  注</w:t>
            </w:r>
          </w:p>
        </w:tc>
      </w:tr>
      <w:tr w14:paraId="22A58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656" w:type="dxa"/>
            <w:vAlign w:val="center"/>
          </w:tcPr>
          <w:p w14:paraId="5A71ED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清单1</w:t>
            </w:r>
          </w:p>
        </w:tc>
        <w:tc>
          <w:tcPr>
            <w:tcW w:w="5508" w:type="dxa"/>
            <w:vAlign w:val="center"/>
          </w:tcPr>
          <w:p w14:paraId="176292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512" w:type="dxa"/>
            <w:vAlign w:val="center"/>
          </w:tcPr>
          <w:p w14:paraId="51E11B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3207D0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6" w:hRule="atLeast"/>
          <w:jc w:val="center"/>
        </w:trPr>
        <w:tc>
          <w:tcPr>
            <w:tcW w:w="1656" w:type="dxa"/>
            <w:vAlign w:val="center"/>
          </w:tcPr>
          <w:p w14:paraId="0BCF1B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清单2</w:t>
            </w:r>
          </w:p>
        </w:tc>
        <w:tc>
          <w:tcPr>
            <w:tcW w:w="5508" w:type="dxa"/>
            <w:vAlign w:val="center"/>
          </w:tcPr>
          <w:p w14:paraId="208619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2512" w:type="dxa"/>
            <w:vAlign w:val="center"/>
          </w:tcPr>
          <w:p w14:paraId="771898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  <w:tr w14:paraId="7E3D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1656" w:type="dxa"/>
            <w:vAlign w:val="center"/>
          </w:tcPr>
          <w:p w14:paraId="0620D4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  <w:t>合计（元）</w:t>
            </w:r>
          </w:p>
        </w:tc>
        <w:tc>
          <w:tcPr>
            <w:tcW w:w="5508" w:type="dxa"/>
            <w:vAlign w:val="center"/>
          </w:tcPr>
          <w:p w14:paraId="096A9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  <w:tc>
          <w:tcPr>
            <w:tcW w:w="2512" w:type="dxa"/>
            <w:vAlign w:val="center"/>
          </w:tcPr>
          <w:p w14:paraId="01D25B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</w:p>
        </w:tc>
      </w:tr>
    </w:tbl>
    <w:p w14:paraId="12FA642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18708E4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.各子服务经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甲方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验收合格后，按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乙方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实际完成的服务子项及对应成交价格据实结算支付；</w:t>
      </w:r>
    </w:p>
    <w:p w14:paraId="3C0AEE49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jc w:val="both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.支付合同款项前，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乙方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须开具有效的增值税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普通/专用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发票给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甲方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；乙方未按要求开具合规发票的，甲方有权顺延付款，不承担逾期付款责任。</w:t>
      </w:r>
    </w:p>
    <w:p w14:paraId="397E9E06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50" w:firstLineChars="200"/>
        <w:textAlignment w:val="auto"/>
        <w:outlineLvl w:val="0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第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eastAsia="zh-CN"/>
        </w:rPr>
        <w:t>六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条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双方权利义务</w:t>
      </w:r>
    </w:p>
    <w:p w14:paraId="79AA9FF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1.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甲方权利义务</w:t>
      </w:r>
    </w:p>
    <w:p w14:paraId="6D635B94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（1）甲方有权对乙方培训方案、师资配置、物料准备、现场服务、成果质量等全过程进行监督、检查与考核，对不符合要求的内容有权要求乙方整改；</w:t>
      </w:r>
    </w:p>
    <w:p w14:paraId="1C757E91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（2）甲方根据工作安排及时向乙方下发培训工作通知单，明确培训具体要求；</w:t>
      </w:r>
    </w:p>
    <w:p w14:paraId="5DCA308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（3）甲方配合乙方开展培训组织工作，及时提供参训人员名单、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培训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需求等必要资料；</w:t>
      </w:r>
    </w:p>
    <w:p w14:paraId="34A1F27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（4）甲方按照合同约定及时完成验收与款项支付工作。</w:t>
      </w:r>
    </w:p>
    <w:p w14:paraId="56379C93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乙方权利义务</w:t>
      </w:r>
    </w:p>
    <w:p w14:paraId="0C0A4485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（1）乙方须严格遵守合同及甲方工作要求，保质保量完成全部培训服务工作，全程承担服务过程中的人员、场地、安全、质量等全部责任与风险；</w:t>
      </w:r>
    </w:p>
    <w:p w14:paraId="05ABD8D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2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）乙方须保证培训课程、资料、课件等内容无版权纠纷、无违法违规内容，若产生侵权、违规问题，由乙方全权承担一切法律责任与经济损失；</w:t>
      </w:r>
    </w:p>
    <w:p w14:paraId="50531230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）乙方需妥善保管甲方参训人员信息、内部工作资料等涉密内容，严格遵守保密义务，不得泄露、外传或用于本合同以外用途，合同终止后保密义务持续有效；</w:t>
      </w:r>
    </w:p>
    <w:p w14:paraId="4195110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480" w:lineRule="exact"/>
        <w:ind w:left="0" w:firstLine="48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（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）培训过程中产生的一切安全事故、人员纠纷、财产损失等，均由乙方自行承担全部责任及费用。</w:t>
      </w:r>
    </w:p>
    <w:p w14:paraId="368B904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3.甲乙双方约定的联系人：</w:t>
      </w:r>
    </w:p>
    <w:p w14:paraId="633FF3C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甲方的联系人及联系方式：</w:t>
      </w:r>
    </w:p>
    <w:p w14:paraId="44848A6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乙方的联系人及联系方式：</w:t>
      </w:r>
    </w:p>
    <w:p w14:paraId="770FB67D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50" w:firstLineChars="200"/>
        <w:jc w:val="both"/>
        <w:textAlignment w:val="auto"/>
        <w:outlineLvl w:val="0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第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eastAsia="zh-CN"/>
        </w:rPr>
        <w:t>七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条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违约责任</w:t>
      </w:r>
    </w:p>
    <w:p w14:paraId="096561CB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1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乙方未按甲方通知单约定时间开展培训、擅自缩减培训时长、变更课程内容、降低服务标准的，甲方有权要求乙方限期整改，同时乙方需向甲方支付该子服务结算金额10%的违约金；逾期未整改或整改后仍不合格的，甲方有权单方解除对应子服务约定，不予结算对应费用，同时乙方需承担由此给甲方造成的全部损失。</w:t>
      </w:r>
    </w:p>
    <w:p w14:paraId="47D8437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乙方服务质量不达标、成果资料缺失、多次整改仍无法通过验收的，甲方有权拒绝付款，并可单方解除本合同，乙方需赔偿甲方全部经济损失。</w:t>
      </w:r>
    </w:p>
    <w:p w14:paraId="348D826C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甲方无正当理由逾期付款的，按国家相关规定承担违约责任。</w:t>
      </w:r>
    </w:p>
    <w:p w14:paraId="72CE846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.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任何一方违反保密、知识产权约定，给对方造成损失的，应承担全部赔偿责任。</w:t>
      </w:r>
    </w:p>
    <w:p w14:paraId="5312BF42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50" w:firstLineChars="200"/>
        <w:textAlignment w:val="auto"/>
        <w:outlineLvl w:val="0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第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>八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条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 xml:space="preserve"> 不可抗力</w:t>
      </w:r>
    </w:p>
    <w:p w14:paraId="44203CBA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因地震、洪水等不能预见、不能避免的不可抗力导致本合同无法履行，遭遇不可抗力一方应及时通知对方，双方根据影响程度协商延期或部分解除合同，互不承担违约责任。</w:t>
      </w:r>
    </w:p>
    <w:p w14:paraId="7B05DDF6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50" w:firstLineChars="200"/>
        <w:textAlignment w:val="auto"/>
        <w:outlineLvl w:val="0"/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第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>九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条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8"/>
          <w:sz w:val="24"/>
          <w:szCs w:val="24"/>
        </w:rPr>
        <w:t>合同生效及争议解决</w:t>
      </w:r>
    </w:p>
    <w:p w14:paraId="688FFE90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1.本合同项下发生的争议，双方应协商解决；协商或调解解决未果的，可向甲方所在地人民法院提起诉讼。</w:t>
      </w:r>
    </w:p>
    <w:p w14:paraId="506B6BD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2.本合同未尽事宜，双方应友好协商解决，协商一致的可签订补充协议，对双方均具有法律约束力。</w:t>
      </w:r>
    </w:p>
    <w:p w14:paraId="156A9F32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3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.本合同自甲乙双方盖章后生效。</w:t>
      </w:r>
    </w:p>
    <w:p w14:paraId="3D37636F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4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.本合同双方法定代表人或授权代表签字盖章生效，一式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zh-CN" w:eastAsia="zh-CN" w:bidi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u w:val="single"/>
          <w:lang w:val="en-US" w:eastAsia="zh-CN" w:bidi="zh-CN"/>
        </w:rPr>
        <w:t>肆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 xml:space="preserve"> 份，甲方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zh-CN" w:eastAsia="zh-CN" w:bidi="zh-CN"/>
        </w:rPr>
        <w:t xml:space="preserve"> 贰 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份，乙方</w:t>
      </w:r>
      <w:r>
        <w:rPr>
          <w:rFonts w:hint="default" w:ascii="Times New Roman" w:hAnsi="Times New Roman" w:eastAsia="宋体" w:cs="Times New Roman"/>
          <w:sz w:val="24"/>
          <w:szCs w:val="24"/>
          <w:u w:val="single"/>
          <w:lang w:val="zh-CN" w:eastAsia="zh-CN" w:bidi="zh-CN"/>
        </w:rPr>
        <w:t xml:space="preserve"> 贰 </w:t>
      </w: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份，具有同等法律效力。</w:t>
      </w:r>
    </w:p>
    <w:p w14:paraId="14DF829B">
      <w:pPr>
        <w:pStyle w:val="8"/>
        <w:keepNext w:val="0"/>
        <w:keepLines w:val="0"/>
        <w:pageBreakBefore w:val="0"/>
        <w:widowControl w:val="0"/>
        <w:kinsoku/>
        <w:overflowPunct/>
        <w:bidi w:val="0"/>
        <w:adjustRightInd/>
        <w:snapToGrid/>
        <w:spacing w:line="480" w:lineRule="exact"/>
        <w:ind w:left="0" w:firstLine="472" w:firstLineChars="200"/>
        <w:textAlignment w:val="auto"/>
        <w:rPr>
          <w:rFonts w:hint="default" w:ascii="Times New Roman" w:hAnsi="Times New Roman" w:eastAsia="宋体" w:cs="Times New Roman"/>
          <w:spacing w:val="-2"/>
          <w:sz w:val="24"/>
          <w:szCs w:val="24"/>
        </w:rPr>
      </w:pPr>
    </w:p>
    <w:p w14:paraId="5849AE35">
      <w:pPr>
        <w:pStyle w:val="8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6166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480" w:lineRule="exact"/>
        <w:ind w:left="0" w:right="0" w:rightChars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zh-CN" w:eastAsia="zh-CN" w:bidi="zh-CN"/>
        </w:rPr>
        <w:t>附件：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 w:bidi="zh-CN"/>
        </w:rPr>
        <w:t>XXX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报价函</w:t>
      </w:r>
    </w:p>
    <w:p w14:paraId="3D49F8F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480" w:lineRule="exact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</w:p>
    <w:p w14:paraId="198950E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/>
        <w:autoSpaceDE/>
        <w:autoSpaceDN/>
        <w:bidi w:val="0"/>
        <w:adjustRightInd/>
        <w:snapToGrid/>
        <w:spacing w:line="480" w:lineRule="exact"/>
        <w:ind w:left="0" w:firstLine="480" w:firstLine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 w:bidi="zh-CN"/>
        </w:rPr>
        <w:t>（以下无正文）</w:t>
      </w:r>
    </w:p>
    <w:tbl>
      <w:tblPr>
        <w:tblStyle w:val="20"/>
        <w:tblW w:w="982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48"/>
        <w:gridCol w:w="4775"/>
      </w:tblGrid>
      <w:tr w14:paraId="3F6CD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8" w:type="dxa"/>
            <w:tcBorders>
              <w:tl2br w:val="nil"/>
              <w:tr2bl w:val="nil"/>
            </w:tcBorders>
            <w:noWrap w:val="0"/>
            <w:vAlign w:val="center"/>
          </w:tcPr>
          <w:p w14:paraId="43BEDB4F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br w:type="page"/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甲方：</w:t>
            </w: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single"/>
              </w:rPr>
              <w:t>四川济通工程试验检测有限公司</w:t>
            </w:r>
          </w:p>
          <w:p w14:paraId="310C6C92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firstLine="3600" w:firstLineChars="15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（盖章）</w:t>
            </w:r>
          </w:p>
        </w:tc>
        <w:tc>
          <w:tcPr>
            <w:tcW w:w="4775" w:type="dxa"/>
            <w:tcBorders>
              <w:tl2br w:val="nil"/>
              <w:tr2bl w:val="nil"/>
            </w:tcBorders>
            <w:noWrap w:val="0"/>
            <w:vAlign w:val="center"/>
          </w:tcPr>
          <w:p w14:paraId="1FF3D968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left="3360" w:leftChars="109" w:hanging="3120" w:hangingChars="1300"/>
              <w:jc w:val="left"/>
              <w:textAlignment w:val="auto"/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乙方：</w:t>
            </w:r>
            <w:r>
              <w:rPr>
                <w:rFonts w:hint="eastAsia" w:ascii="Times New Roman" w:hAnsi="Times New Roman" w:eastAsia="宋体" w:cs="Times New Roman"/>
                <w:color w:val="auto"/>
                <w:sz w:val="24"/>
                <w:szCs w:val="24"/>
                <w:highlight w:val="none"/>
                <w:u w:val="single"/>
                <w:lang w:val="en-US" w:eastAsia="zh-CN"/>
              </w:rPr>
              <w:t xml:space="preserve">                                               </w:t>
            </w:r>
          </w:p>
          <w:p w14:paraId="408C3D0C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left="3357" w:leftChars="1417" w:hanging="240" w:hangingChars="100"/>
              <w:jc w:val="left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（盖章）</w:t>
            </w:r>
          </w:p>
        </w:tc>
      </w:tr>
      <w:tr w14:paraId="09A024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8" w:type="dxa"/>
            <w:tcBorders>
              <w:tl2br w:val="nil"/>
              <w:tr2bl w:val="nil"/>
            </w:tcBorders>
            <w:noWrap w:val="0"/>
            <w:vAlign w:val="center"/>
          </w:tcPr>
          <w:p w14:paraId="459D376D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法定代表人</w:t>
            </w:r>
          </w:p>
          <w:p w14:paraId="686D37B3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或委托代理人：（签字）</w:t>
            </w:r>
          </w:p>
        </w:tc>
        <w:tc>
          <w:tcPr>
            <w:tcW w:w="4775" w:type="dxa"/>
            <w:tcBorders>
              <w:tl2br w:val="nil"/>
              <w:tr2bl w:val="nil"/>
            </w:tcBorders>
            <w:shd w:val="clear" w:color="auto" w:fill="auto"/>
            <w:noWrap w:val="0"/>
            <w:vAlign w:val="center"/>
          </w:tcPr>
          <w:p w14:paraId="19208F80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法定代表人</w:t>
            </w:r>
          </w:p>
          <w:p w14:paraId="1550F767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  <w:lang w:val="zh-CN" w:eastAsia="zh-CN" w:bidi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或委托代理人：（签字）</w:t>
            </w:r>
          </w:p>
        </w:tc>
      </w:tr>
      <w:tr w14:paraId="11D29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5048" w:type="dxa"/>
            <w:tcBorders>
              <w:tl2br w:val="nil"/>
              <w:tr2bl w:val="nil"/>
            </w:tcBorders>
            <w:noWrap w:val="0"/>
            <w:vAlign w:val="center"/>
          </w:tcPr>
          <w:p w14:paraId="179250AC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经办人：</w:t>
            </w:r>
          </w:p>
        </w:tc>
        <w:tc>
          <w:tcPr>
            <w:tcW w:w="4775" w:type="dxa"/>
            <w:tcBorders>
              <w:tl2br w:val="nil"/>
              <w:tr2bl w:val="nil"/>
            </w:tcBorders>
            <w:noWrap w:val="0"/>
            <w:vAlign w:val="center"/>
          </w:tcPr>
          <w:p w14:paraId="0BFF595F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经办人：</w:t>
            </w:r>
          </w:p>
        </w:tc>
      </w:tr>
      <w:tr w14:paraId="45B28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48" w:type="dxa"/>
            <w:tcBorders>
              <w:tl2br w:val="nil"/>
              <w:tr2bl w:val="nil"/>
            </w:tcBorders>
            <w:noWrap w:val="0"/>
            <w:vAlign w:val="center"/>
          </w:tcPr>
          <w:p w14:paraId="2C3050F3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开户银行：中国建设银行股份有限公司成都第二支行</w:t>
            </w:r>
          </w:p>
        </w:tc>
        <w:tc>
          <w:tcPr>
            <w:tcW w:w="4775" w:type="dxa"/>
            <w:tcBorders>
              <w:tl2br w:val="nil"/>
              <w:tr2bl w:val="nil"/>
            </w:tcBorders>
            <w:noWrap w:val="0"/>
            <w:vAlign w:val="center"/>
          </w:tcPr>
          <w:p w14:paraId="50778360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开户银行：</w:t>
            </w:r>
          </w:p>
        </w:tc>
      </w:tr>
      <w:tr w14:paraId="18200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048" w:type="dxa"/>
            <w:tcBorders>
              <w:tl2br w:val="nil"/>
              <w:tr2bl w:val="nil"/>
            </w:tcBorders>
            <w:noWrap w:val="0"/>
            <w:vAlign w:val="center"/>
          </w:tcPr>
          <w:p w14:paraId="2ACD3221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开户账号：51001426208051518277</w:t>
            </w:r>
          </w:p>
        </w:tc>
        <w:tc>
          <w:tcPr>
            <w:tcW w:w="4775" w:type="dxa"/>
            <w:tcBorders>
              <w:tl2br w:val="nil"/>
              <w:tr2bl w:val="nil"/>
            </w:tcBorders>
            <w:noWrap w:val="0"/>
            <w:vAlign w:val="center"/>
          </w:tcPr>
          <w:p w14:paraId="3BBAE53E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  <w:t>开户账号：</w:t>
            </w:r>
          </w:p>
        </w:tc>
      </w:tr>
      <w:tr w14:paraId="41B93C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5048" w:type="dxa"/>
            <w:tcBorders>
              <w:tl2br w:val="nil"/>
              <w:tr2bl w:val="nil"/>
            </w:tcBorders>
            <w:noWrap w:val="0"/>
            <w:vAlign w:val="center"/>
          </w:tcPr>
          <w:p w14:paraId="2AAA4D06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地址：成都蛟龙工业港双流园区威海路7座150号</w:t>
            </w:r>
          </w:p>
        </w:tc>
        <w:tc>
          <w:tcPr>
            <w:tcW w:w="4775" w:type="dxa"/>
            <w:tcBorders>
              <w:tl2br w:val="nil"/>
              <w:tr2bl w:val="nil"/>
            </w:tcBorders>
            <w:noWrap w:val="0"/>
            <w:vAlign w:val="center"/>
          </w:tcPr>
          <w:p w14:paraId="43FA04E8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地址：</w:t>
            </w:r>
          </w:p>
        </w:tc>
      </w:tr>
      <w:tr w14:paraId="42DDBF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5048" w:type="dxa"/>
            <w:tcBorders>
              <w:tl2br w:val="nil"/>
              <w:tr2bl w:val="nil"/>
            </w:tcBorders>
            <w:noWrap w:val="0"/>
            <w:vAlign w:val="center"/>
          </w:tcPr>
          <w:p w14:paraId="7C4D8D15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时间：    年    月   日</w:t>
            </w:r>
          </w:p>
        </w:tc>
        <w:tc>
          <w:tcPr>
            <w:tcW w:w="4775" w:type="dxa"/>
            <w:tcBorders>
              <w:tl2br w:val="nil"/>
              <w:tr2bl w:val="nil"/>
            </w:tcBorders>
            <w:noWrap w:val="0"/>
            <w:vAlign w:val="center"/>
          </w:tcPr>
          <w:p w14:paraId="7140B25B">
            <w:pPr>
              <w:keepNext w:val="0"/>
              <w:keepLines w:val="0"/>
              <w:pageBreakBefore w:val="0"/>
              <w:widowControl w:val="0"/>
              <w:kinsoku/>
              <w:overflowPunct/>
              <w:bidi w:val="0"/>
              <w:adjustRightInd/>
              <w:snapToGrid/>
              <w:spacing w:line="480" w:lineRule="exact"/>
              <w:ind w:left="0" w:firstLine="480" w:firstLineChars="20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4"/>
                <w:szCs w:val="24"/>
                <w:highlight w:val="none"/>
                <w:lang w:val="en-US" w:eastAsia="zh-CN"/>
              </w:rPr>
              <w:t>时间：    年  月  日</w:t>
            </w:r>
          </w:p>
        </w:tc>
      </w:tr>
    </w:tbl>
    <w:p w14:paraId="6D6003B2">
      <w:pPr>
        <w:autoSpaceDE/>
        <w:autoSpaceDN/>
        <w:spacing w:line="360" w:lineRule="auto"/>
        <w:ind w:left="7209" w:hanging="7209"/>
        <w:jc w:val="both"/>
        <w:outlineLvl w:val="9"/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-SA"/>
        </w:rPr>
      </w:pPr>
    </w:p>
    <w:p w14:paraId="3D9B629E">
      <w:pPr>
        <w:autoSpaceDE/>
        <w:autoSpaceDN/>
        <w:spacing w:line="360" w:lineRule="auto"/>
        <w:ind w:left="7209" w:hanging="7209"/>
        <w:jc w:val="both"/>
        <w:outlineLvl w:val="9"/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-SA"/>
        </w:rPr>
      </w:pPr>
    </w:p>
    <w:p w14:paraId="50DC9D22">
      <w:pPr>
        <w:autoSpaceDE/>
        <w:autoSpaceDN/>
        <w:spacing w:line="360" w:lineRule="auto"/>
        <w:ind w:left="7209" w:hanging="7209"/>
        <w:jc w:val="both"/>
        <w:outlineLvl w:val="9"/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-SA"/>
        </w:rPr>
        <w:t>附件</w:t>
      </w:r>
      <w:r>
        <w:rPr>
          <w:rFonts w:hint="eastAsia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-SA"/>
        </w:rPr>
        <w:t>：XXX</w:t>
      </w:r>
      <w:r>
        <w:rPr>
          <w:rFonts w:hint="default" w:ascii="Times New Roman" w:hAnsi="Times New Roman" w:eastAsia="宋体" w:cs="Times New Roman"/>
          <w:b/>
          <w:bCs/>
          <w:kern w:val="0"/>
          <w:sz w:val="28"/>
          <w:szCs w:val="28"/>
          <w:lang w:val="en-US" w:eastAsia="zh-CN" w:bidi="ar-SA"/>
        </w:rPr>
        <w:t>报价函</w:t>
      </w:r>
    </w:p>
    <w:p w14:paraId="2C3B3463">
      <w:pPr>
        <w:pStyle w:val="16"/>
        <w:spacing w:line="480" w:lineRule="auto"/>
        <w:ind w:left="4920" w:hanging="4920" w:hangingChars="2050"/>
        <w:jc w:val="center"/>
        <w:rPr>
          <w:rFonts w:hint="default" w:ascii="Times New Roman" w:hAnsi="Times New Roman" w:cs="Times New Roman"/>
        </w:rPr>
      </w:pPr>
    </w:p>
    <w:p w14:paraId="561CC48D">
      <w:pPr>
        <w:pStyle w:val="16"/>
        <w:spacing w:line="480" w:lineRule="auto"/>
        <w:ind w:left="4920" w:hanging="4920" w:hangingChars="2050"/>
        <w:jc w:val="center"/>
        <w:rPr>
          <w:rFonts w:hint="default" w:ascii="Times New Roman" w:hAnsi="Times New Roman" w:eastAsia="仿宋" w:cs="Times New Roman"/>
          <w:szCs w:val="24"/>
          <w:lang w:eastAsia="zh-CN"/>
        </w:rPr>
      </w:pPr>
    </w:p>
    <w:sectPr>
      <w:headerReference r:id="rId3" w:type="default"/>
      <w:footerReference r:id="rId4" w:type="default"/>
      <w:pgSz w:w="11910" w:h="16840"/>
      <w:pgMar w:top="1417" w:right="1089" w:bottom="1417" w:left="1361" w:header="881" w:footer="1134" w:gutter="0"/>
      <w:pgNumType w:fmt="decimal"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A91E6E">
    <w:pPr>
      <w:pStyle w:val="8"/>
      <w:spacing w:line="14" w:lineRule="auto"/>
      <w:rPr>
        <w:sz w:val="17"/>
      </w:rPr>
    </w:pPr>
    <w:r>
      <w:rPr>
        <w:sz w:val="17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2858135</wp:posOffset>
              </wp:positionH>
              <wp:positionV relativeFrom="paragraph">
                <wp:posOffset>0</wp:posOffset>
              </wp:positionV>
              <wp:extent cx="262255" cy="22098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2255" cy="2209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257670D">
                          <w:pPr>
                            <w:pStyle w:val="11"/>
                            <w:jc w:val="center"/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</w:pP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t>2</w:t>
                          </w:r>
                          <w:r>
                            <w:rPr>
                              <w:rFonts w:hint="eastAsia" w:ascii="黑体" w:hAnsi="黑体" w:eastAsia="黑体" w:cs="黑体"/>
                              <w:b w:val="0"/>
                              <w:bCs w:val="0"/>
                              <w:sz w:val="21"/>
                              <w:szCs w:val="21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25.05pt;margin-top:0pt;height:17.4pt;width:20.65pt;mso-position-horizontal-relative:margin;z-index:251659264;mso-width-relative:page;mso-height-relative:page;" filled="f" stroked="f" coordsize="21600,21600" o:gfxdata="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 w14:paraId="2257670D">
                    <w:pPr>
                      <w:pStyle w:val="11"/>
                      <w:jc w:val="center"/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</w:pP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t>2</w:t>
                    </w:r>
                    <w:r>
                      <w:rPr>
                        <w:rFonts w:hint="eastAsia" w:ascii="黑体" w:hAnsi="黑体" w:eastAsia="黑体" w:cs="黑体"/>
                        <w:b w:val="0"/>
                        <w:bCs w:val="0"/>
                        <w:sz w:val="21"/>
                        <w:szCs w:val="21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25E784">
    <w:pPr>
      <w:pStyle w:val="8"/>
      <w:pBdr>
        <w:bottom w:val="none" w:color="auto" w:sz="0" w:space="0"/>
      </w:pBdr>
      <w:spacing w:line="14" w:lineRule="auto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0"/>
  <w:drawingGridHorizontalSpacing w:val="110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0MTdlZWNjYmIzNmQ0YmZjODVjNDNiNDI0MGNhNDkifQ=="/>
    <w:docVar w:name="KSO_WPS_MARK_KEY" w:val="e2140aba-967a-4356-aa32-bc22f7fb0b08"/>
  </w:docVars>
  <w:rsids>
    <w:rsidRoot w:val="00DE3F60"/>
    <w:rsid w:val="00036850"/>
    <w:rsid w:val="006131FD"/>
    <w:rsid w:val="0063024C"/>
    <w:rsid w:val="006943FD"/>
    <w:rsid w:val="00790E8B"/>
    <w:rsid w:val="007C49EF"/>
    <w:rsid w:val="007D263A"/>
    <w:rsid w:val="00A766D5"/>
    <w:rsid w:val="00CD75AE"/>
    <w:rsid w:val="00D459D5"/>
    <w:rsid w:val="00DE3F60"/>
    <w:rsid w:val="00E93A7C"/>
    <w:rsid w:val="00F30935"/>
    <w:rsid w:val="00F633C1"/>
    <w:rsid w:val="00FD6076"/>
    <w:rsid w:val="0127755B"/>
    <w:rsid w:val="02B80655"/>
    <w:rsid w:val="03074EB3"/>
    <w:rsid w:val="05CD64A5"/>
    <w:rsid w:val="068C5BB2"/>
    <w:rsid w:val="06983DF9"/>
    <w:rsid w:val="06F42FA5"/>
    <w:rsid w:val="0762726E"/>
    <w:rsid w:val="078768C2"/>
    <w:rsid w:val="07C77AEC"/>
    <w:rsid w:val="0882002A"/>
    <w:rsid w:val="09955B16"/>
    <w:rsid w:val="0D06551D"/>
    <w:rsid w:val="0D711637"/>
    <w:rsid w:val="0DB937C0"/>
    <w:rsid w:val="0E2D0979"/>
    <w:rsid w:val="0E567EC8"/>
    <w:rsid w:val="11A86DC8"/>
    <w:rsid w:val="12AA4C01"/>
    <w:rsid w:val="1413197A"/>
    <w:rsid w:val="141579F5"/>
    <w:rsid w:val="159A3ED7"/>
    <w:rsid w:val="16223E0F"/>
    <w:rsid w:val="16B43B24"/>
    <w:rsid w:val="16C25376"/>
    <w:rsid w:val="171D488A"/>
    <w:rsid w:val="1848494F"/>
    <w:rsid w:val="19A756D6"/>
    <w:rsid w:val="1A875D5A"/>
    <w:rsid w:val="1BB6133F"/>
    <w:rsid w:val="1F226DFF"/>
    <w:rsid w:val="21940E81"/>
    <w:rsid w:val="25230694"/>
    <w:rsid w:val="255A3056"/>
    <w:rsid w:val="267074F0"/>
    <w:rsid w:val="27145127"/>
    <w:rsid w:val="27D6160C"/>
    <w:rsid w:val="29140810"/>
    <w:rsid w:val="2A5F20B2"/>
    <w:rsid w:val="2AA05576"/>
    <w:rsid w:val="2DEC0B18"/>
    <w:rsid w:val="3082422E"/>
    <w:rsid w:val="327B2475"/>
    <w:rsid w:val="350975BF"/>
    <w:rsid w:val="37BB0875"/>
    <w:rsid w:val="38090963"/>
    <w:rsid w:val="39365415"/>
    <w:rsid w:val="39BC4AC8"/>
    <w:rsid w:val="3ADC34DA"/>
    <w:rsid w:val="3BF70974"/>
    <w:rsid w:val="3CE03F23"/>
    <w:rsid w:val="3DBD69FF"/>
    <w:rsid w:val="3DCF7316"/>
    <w:rsid w:val="3F102B8A"/>
    <w:rsid w:val="400D6BF3"/>
    <w:rsid w:val="40C86069"/>
    <w:rsid w:val="410959F2"/>
    <w:rsid w:val="423260D3"/>
    <w:rsid w:val="43132474"/>
    <w:rsid w:val="43195EC7"/>
    <w:rsid w:val="46DA3D81"/>
    <w:rsid w:val="49A475C9"/>
    <w:rsid w:val="4AC57A22"/>
    <w:rsid w:val="4BE1030C"/>
    <w:rsid w:val="53197EA5"/>
    <w:rsid w:val="548B2262"/>
    <w:rsid w:val="576B660A"/>
    <w:rsid w:val="576E4460"/>
    <w:rsid w:val="58B54896"/>
    <w:rsid w:val="59E60CC8"/>
    <w:rsid w:val="5A5A2018"/>
    <w:rsid w:val="5AC66FC9"/>
    <w:rsid w:val="5B357979"/>
    <w:rsid w:val="5B4D5ADB"/>
    <w:rsid w:val="5EF3247B"/>
    <w:rsid w:val="60645FF9"/>
    <w:rsid w:val="61FD41BF"/>
    <w:rsid w:val="626B3D4B"/>
    <w:rsid w:val="63160B62"/>
    <w:rsid w:val="64AD4EF2"/>
    <w:rsid w:val="64E070B3"/>
    <w:rsid w:val="65910A15"/>
    <w:rsid w:val="66274FDB"/>
    <w:rsid w:val="6B741C4A"/>
    <w:rsid w:val="6D837E4A"/>
    <w:rsid w:val="6DA06D26"/>
    <w:rsid w:val="6DED62B4"/>
    <w:rsid w:val="705F2A6D"/>
    <w:rsid w:val="70DA7855"/>
    <w:rsid w:val="7239220A"/>
    <w:rsid w:val="74FB02C4"/>
    <w:rsid w:val="77F35507"/>
    <w:rsid w:val="7837416C"/>
    <w:rsid w:val="7A751D86"/>
    <w:rsid w:val="7C45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nhideWhenUsed="0" w:uiPriority="1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qFormat="1" w:unhideWhenUsed="0" w:uiPriority="1" w:semiHidden="0" w:name="toc 2"/>
    <w:lsdException w:qFormat="1" w:unhideWhenUsed="0" w:uiPriority="1" w:semiHidden="0" w:name="toc 3"/>
    <w:lsdException w:qFormat="1" w:unhideWhenUsed="0" w:uiPriority="1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" w:hAnsi="仿宋" w:eastAsia="仿宋" w:cs="仿宋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right="399"/>
      <w:jc w:val="center"/>
      <w:outlineLvl w:val="0"/>
    </w:pPr>
    <w:rPr>
      <w:rFonts w:ascii="宋体" w:hAnsi="宋体" w:eastAsia="宋体" w:cs="宋体"/>
      <w:sz w:val="84"/>
      <w:szCs w:val="84"/>
    </w:rPr>
  </w:style>
  <w:style w:type="paragraph" w:styleId="3">
    <w:name w:val="heading 2"/>
    <w:basedOn w:val="1"/>
    <w:next w:val="1"/>
    <w:qFormat/>
    <w:uiPriority w:val="1"/>
    <w:pPr>
      <w:spacing w:before="54"/>
      <w:jc w:val="center"/>
      <w:outlineLvl w:val="1"/>
    </w:pPr>
    <w:rPr>
      <w:b/>
      <w:bCs/>
      <w:sz w:val="32"/>
      <w:szCs w:val="32"/>
    </w:rPr>
  </w:style>
  <w:style w:type="paragraph" w:styleId="4">
    <w:name w:val="heading 3"/>
    <w:basedOn w:val="1"/>
    <w:next w:val="1"/>
    <w:qFormat/>
    <w:uiPriority w:val="1"/>
    <w:pPr>
      <w:spacing w:before="58"/>
      <w:ind w:right="1782"/>
      <w:jc w:val="center"/>
      <w:outlineLvl w:val="2"/>
    </w:pPr>
    <w:rPr>
      <w:rFonts w:ascii="宋体" w:hAnsi="宋体" w:eastAsia="宋体" w:cs="宋体"/>
      <w:b/>
      <w:bCs/>
      <w:sz w:val="30"/>
      <w:szCs w:val="30"/>
    </w:rPr>
  </w:style>
  <w:style w:type="paragraph" w:styleId="5">
    <w:name w:val="heading 4"/>
    <w:basedOn w:val="1"/>
    <w:next w:val="1"/>
    <w:qFormat/>
    <w:uiPriority w:val="1"/>
    <w:pPr>
      <w:spacing w:before="57"/>
      <w:jc w:val="center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qFormat/>
    <w:uiPriority w:val="1"/>
    <w:pPr>
      <w:ind w:left="1772"/>
      <w:outlineLvl w:val="4"/>
    </w:pPr>
    <w:rPr>
      <w:b/>
      <w:bCs/>
      <w:sz w:val="24"/>
      <w:szCs w:val="24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annotation text"/>
    <w:basedOn w:val="1"/>
    <w:link w:val="30"/>
    <w:qFormat/>
    <w:uiPriority w:val="0"/>
  </w:style>
  <w:style w:type="paragraph" w:styleId="8">
    <w:name w:val="Body Text"/>
    <w:basedOn w:val="1"/>
    <w:qFormat/>
    <w:uiPriority w:val="1"/>
    <w:rPr>
      <w:sz w:val="24"/>
      <w:szCs w:val="24"/>
    </w:rPr>
  </w:style>
  <w:style w:type="paragraph" w:styleId="9">
    <w:name w:val="toc 3"/>
    <w:basedOn w:val="1"/>
    <w:next w:val="1"/>
    <w:qFormat/>
    <w:uiPriority w:val="1"/>
    <w:pPr>
      <w:spacing w:before="122"/>
      <w:ind w:right="1068"/>
      <w:jc w:val="right"/>
    </w:pPr>
    <w:rPr>
      <w:b/>
      <w:bCs/>
      <w:i/>
    </w:rPr>
  </w:style>
  <w:style w:type="paragraph" w:styleId="10">
    <w:name w:val="Balloon Text"/>
    <w:basedOn w:val="1"/>
    <w:link w:val="29"/>
    <w:qFormat/>
    <w:uiPriority w:val="0"/>
    <w:rPr>
      <w:sz w:val="18"/>
      <w:szCs w:val="18"/>
    </w:r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12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3">
    <w:name w:val="toc 1"/>
    <w:basedOn w:val="1"/>
    <w:next w:val="1"/>
    <w:qFormat/>
    <w:uiPriority w:val="1"/>
    <w:pPr>
      <w:spacing w:before="122"/>
      <w:ind w:right="1113"/>
      <w:jc w:val="right"/>
    </w:pPr>
    <w:rPr>
      <w:b/>
      <w:bCs/>
      <w:sz w:val="24"/>
      <w:szCs w:val="24"/>
    </w:rPr>
  </w:style>
  <w:style w:type="paragraph" w:styleId="14">
    <w:name w:val="toc 4"/>
    <w:basedOn w:val="1"/>
    <w:next w:val="1"/>
    <w:qFormat/>
    <w:uiPriority w:val="1"/>
    <w:pPr>
      <w:spacing w:before="122"/>
      <w:ind w:left="595"/>
    </w:pPr>
    <w:rPr>
      <w:b/>
      <w:bCs/>
      <w:sz w:val="24"/>
      <w:szCs w:val="24"/>
    </w:rPr>
  </w:style>
  <w:style w:type="paragraph" w:styleId="15">
    <w:name w:val="toc 2"/>
    <w:basedOn w:val="1"/>
    <w:next w:val="1"/>
    <w:qFormat/>
    <w:uiPriority w:val="1"/>
    <w:pPr>
      <w:spacing w:before="158"/>
      <w:ind w:right="1070"/>
      <w:jc w:val="right"/>
    </w:pPr>
    <w:rPr>
      <w:sz w:val="24"/>
      <w:szCs w:val="24"/>
    </w:rPr>
  </w:style>
  <w:style w:type="paragraph" w:styleId="16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宋体" w:hAnsi="宋体"/>
      <w:sz w:val="24"/>
      <w:szCs w:val="20"/>
    </w:rPr>
  </w:style>
  <w:style w:type="paragraph" w:styleId="1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8">
    <w:name w:val="annotation subject"/>
    <w:basedOn w:val="7"/>
    <w:next w:val="7"/>
    <w:link w:val="31"/>
    <w:qFormat/>
    <w:uiPriority w:val="0"/>
    <w:rPr>
      <w:b/>
      <w:bCs/>
    </w:rPr>
  </w:style>
  <w:style w:type="table" w:styleId="20">
    <w:name w:val="Table Grid"/>
    <w:basedOn w:val="1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annotation reference"/>
    <w:basedOn w:val="21"/>
    <w:qFormat/>
    <w:uiPriority w:val="0"/>
    <w:rPr>
      <w:sz w:val="21"/>
      <w:szCs w:val="21"/>
    </w:rPr>
  </w:style>
  <w:style w:type="paragraph" w:customStyle="1" w:styleId="23">
    <w:name w:val="BodyText1I2"/>
    <w:basedOn w:val="24"/>
    <w:next w:val="1"/>
    <w:qFormat/>
    <w:uiPriority w:val="0"/>
    <w:pPr>
      <w:ind w:firstLine="420" w:firstLineChars="200"/>
    </w:pPr>
  </w:style>
  <w:style w:type="paragraph" w:customStyle="1" w:styleId="24">
    <w:name w:val="BodyTextIndent"/>
    <w:basedOn w:val="1"/>
    <w:qFormat/>
    <w:uiPriority w:val="0"/>
    <w:pPr>
      <w:spacing w:line="360" w:lineRule="auto"/>
      <w:ind w:firstLine="540"/>
      <w:textAlignment w:val="baseline"/>
    </w:pPr>
    <w:rPr>
      <w:rFonts w:ascii="Times New Roman" w:hAnsi="Times New Roman"/>
      <w:color w:val="000066"/>
      <w:szCs w:val="18"/>
    </w:rPr>
  </w:style>
  <w:style w:type="paragraph" w:customStyle="1" w:styleId="25">
    <w:name w:val="Default"/>
    <w:next w:val="1"/>
    <w:unhideWhenUsed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table" w:customStyle="1" w:styleId="2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7">
    <w:name w:val="List Paragraph"/>
    <w:basedOn w:val="1"/>
    <w:qFormat/>
    <w:uiPriority w:val="1"/>
    <w:pPr>
      <w:ind w:left="595" w:hanging="603"/>
    </w:pPr>
  </w:style>
  <w:style w:type="paragraph" w:customStyle="1" w:styleId="28">
    <w:name w:val="Table Paragraph"/>
    <w:basedOn w:val="1"/>
    <w:qFormat/>
    <w:uiPriority w:val="1"/>
  </w:style>
  <w:style w:type="character" w:customStyle="1" w:styleId="29">
    <w:name w:val="批注框文本 字符"/>
    <w:basedOn w:val="21"/>
    <w:link w:val="10"/>
    <w:qFormat/>
    <w:uiPriority w:val="0"/>
    <w:rPr>
      <w:rFonts w:ascii="仿宋" w:hAnsi="仿宋" w:eastAsia="仿宋" w:cs="仿宋"/>
      <w:sz w:val="18"/>
      <w:szCs w:val="18"/>
      <w:lang w:val="zh-CN" w:bidi="zh-CN"/>
    </w:rPr>
  </w:style>
  <w:style w:type="character" w:customStyle="1" w:styleId="30">
    <w:name w:val="批注文字 字符"/>
    <w:basedOn w:val="21"/>
    <w:link w:val="7"/>
    <w:qFormat/>
    <w:uiPriority w:val="0"/>
    <w:rPr>
      <w:rFonts w:ascii="仿宋" w:hAnsi="仿宋" w:eastAsia="仿宋" w:cs="仿宋"/>
      <w:sz w:val="22"/>
      <w:szCs w:val="22"/>
      <w:lang w:val="zh-CN" w:bidi="zh-CN"/>
    </w:rPr>
  </w:style>
  <w:style w:type="character" w:customStyle="1" w:styleId="31">
    <w:name w:val="批注主题 字符"/>
    <w:basedOn w:val="30"/>
    <w:link w:val="18"/>
    <w:qFormat/>
    <w:uiPriority w:val="0"/>
    <w:rPr>
      <w:rFonts w:ascii="仿宋" w:hAnsi="仿宋" w:eastAsia="仿宋" w:cs="仿宋"/>
      <w:b/>
      <w:bCs/>
      <w:sz w:val="22"/>
      <w:szCs w:val="22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3166</Words>
  <Characters>3240</Characters>
  <Lines>142</Lines>
  <Paragraphs>40</Paragraphs>
  <TotalTime>2</TotalTime>
  <ScaleCrop>false</ScaleCrop>
  <LinksUpToDate>false</LinksUpToDate>
  <CharactersWithSpaces>3401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2022-10-20T13:30:00Z</dcterms:created>
  <dc:creator>LH</dc:creator>
  <cp:lastModifiedBy>çå°</cp:lastModifiedBy>
  <cp:lastPrinted>2023-01-09T10:11:00Z</cp:lastPrinted>
  <dcterms:modified xsi:type="dcterms:W3CDTF">2026-09-24T08:13:26Z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BAFF1618AACC4EB68A759D3B7F08DC12_13</vt:lpwstr>
  </property>
  <property fmtid="{D5CDD505-2E9C-101B-9397-08002B2CF9AE}" pid="4" name="KSOTemplateDocerSaveRecord">
    <vt:lpwstr>eyJoZGlkIjoiOTZjMzM1Mjg3NjcxZTg5MzQ2N2EwM2NmOWVlMzIzOWMiLCJ1c2VySWQiOiI0ODczODU1MDgifQ==</vt:lpwstr>
  </property>
</Properties>
</file>