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2CE1C">
      <w:pPr>
        <w:widowControl w:val="0"/>
        <w:kinsoku/>
        <w:autoSpaceDE/>
        <w:autoSpaceDN/>
        <w:adjustRightInd w:val="0"/>
        <w:snapToGrid w:val="0"/>
        <w:spacing w:line="240" w:lineRule="auto"/>
        <w:ind w:left="992" w:hanging="992" w:hangingChars="310"/>
        <w:jc w:val="both"/>
        <w:textAlignment w:val="auto"/>
        <w:rPr>
          <w:rFonts w:hint="eastAsia" w:ascii="黑体" w:hAnsi="黑体" w:eastAsia="黑体" w:cs="黑体"/>
          <w:snapToGrid w:val="0"/>
          <w:color w:val="000000"/>
          <w:spacing w:val="17"/>
          <w:kern w:val="0"/>
          <w:position w:val="1"/>
          <w:sz w:val="36"/>
          <w:szCs w:val="36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Cs/>
          <w:snapToGrid/>
          <w:kern w:val="0"/>
          <w:sz w:val="32"/>
          <w:szCs w:val="32"/>
          <w:highlight w:val="none"/>
          <w:lang w:val="en-US" w:eastAsia="en-US" w:bidi="zh-CN"/>
        </w:rPr>
        <w:t>合同编号：</w:t>
      </w:r>
    </w:p>
    <w:p w14:paraId="04797576">
      <w:pPr>
        <w:rPr>
          <w:rFonts w:hint="eastAsia"/>
          <w:lang w:val="en-US" w:eastAsia="zh-CN"/>
        </w:rPr>
      </w:pPr>
    </w:p>
    <w:p w14:paraId="4E7BDA2C">
      <w:pPr>
        <w:shd w:val="clear" w:color="auto" w:fill="auto"/>
        <w:spacing w:line="360" w:lineRule="auto"/>
        <w:jc w:val="center"/>
        <w:rPr>
          <w:rFonts w:hint="eastAsia" w:ascii="黑体" w:hAnsi="黑体" w:eastAsia="黑体" w:cs="黑体"/>
          <w:snapToGrid w:val="0"/>
          <w:color w:val="000000"/>
          <w:spacing w:val="17"/>
          <w:kern w:val="0"/>
          <w:position w:val="1"/>
          <w:sz w:val="36"/>
          <w:szCs w:val="36"/>
          <w:highlight w:val="green"/>
          <w:lang w:val="en-US" w:eastAsia="zh-CN" w:bidi="ar-SA"/>
        </w:rPr>
      </w:pPr>
    </w:p>
    <w:p w14:paraId="748ED882">
      <w:pPr>
        <w:shd w:val="clear" w:color="auto" w:fill="auto"/>
        <w:spacing w:line="360" w:lineRule="auto"/>
        <w:jc w:val="center"/>
        <w:rPr>
          <w:rFonts w:hint="eastAsia" w:ascii="黑体" w:hAnsi="黑体" w:eastAsia="黑体" w:cs="黑体"/>
          <w:snapToGrid w:val="0"/>
          <w:color w:val="000000"/>
          <w:spacing w:val="17"/>
          <w:kern w:val="0"/>
          <w:position w:val="1"/>
          <w:sz w:val="36"/>
          <w:szCs w:val="36"/>
          <w:highlight w:val="green"/>
          <w:lang w:val="en-US" w:eastAsia="zh-CN" w:bidi="ar-SA"/>
        </w:rPr>
      </w:pPr>
    </w:p>
    <w:p w14:paraId="71617436">
      <w:pPr>
        <w:shd w:val="clear" w:color="auto" w:fill="auto"/>
        <w:spacing w:line="360" w:lineRule="auto"/>
        <w:jc w:val="center"/>
        <w:rPr>
          <w:rFonts w:hint="eastAsia" w:ascii="黑体" w:hAnsi="黑体" w:eastAsia="黑体" w:cs="黑体"/>
          <w:snapToGrid w:val="0"/>
          <w:color w:val="000000"/>
          <w:spacing w:val="17"/>
          <w:kern w:val="0"/>
          <w:position w:val="1"/>
          <w:sz w:val="36"/>
          <w:szCs w:val="36"/>
          <w:highlight w:val="green"/>
          <w:lang w:val="en-US" w:eastAsia="zh-CN" w:bidi="ar-SA"/>
        </w:rPr>
      </w:pPr>
    </w:p>
    <w:p w14:paraId="19DC0EE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napToGrid/>
          <w:color w:val="000000"/>
          <w:spacing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napToGrid/>
          <w:color w:val="000000"/>
          <w:spacing w:val="0"/>
          <w:sz w:val="44"/>
          <w:szCs w:val="44"/>
          <w:highlight w:val="none"/>
          <w:u w:val="none"/>
          <w:lang w:val="en-US" w:eastAsia="zh-CN"/>
        </w:rPr>
        <w:t>G0611郎木寺（川甘界）至川主寺段、G0611川主寺至汶川段、S14川主寺至红原高速公路项目外委原材料试验室监控设备采购及安装</w:t>
      </w:r>
    </w:p>
    <w:p w14:paraId="5B80661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napToGrid/>
          <w:color w:val="000000"/>
          <w:spacing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napToGrid/>
          <w:color w:val="000000"/>
          <w:spacing w:val="0"/>
          <w:sz w:val="44"/>
          <w:szCs w:val="44"/>
          <w:highlight w:val="none"/>
          <w:u w:val="none"/>
          <w:lang w:val="en-US" w:eastAsia="zh-CN"/>
        </w:rPr>
        <w:t>服务合同</w:t>
      </w:r>
    </w:p>
    <w:p w14:paraId="3EAF2C95">
      <w:pPr>
        <w:pStyle w:val="6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仿宋" w:hAnsi="仿宋" w:eastAsia="仿宋" w:cs="仿宋"/>
          <w:kern w:val="0"/>
        </w:rPr>
      </w:pPr>
    </w:p>
    <w:p w14:paraId="712217AC">
      <w:pPr>
        <w:pStyle w:val="12"/>
        <w:ind w:left="0" w:leftChars="0" w:firstLine="0" w:firstLineChars="0"/>
        <w:rPr>
          <w:rFonts w:hint="eastAsia"/>
        </w:rPr>
      </w:pPr>
    </w:p>
    <w:p w14:paraId="14CB3844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</w:rPr>
      </w:pPr>
    </w:p>
    <w:p w14:paraId="7D14C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2240" w:firstLineChars="700"/>
        <w:jc w:val="both"/>
        <w:textAlignment w:val="auto"/>
        <w:rPr>
          <w:rFonts w:hint="eastAsia" w:ascii="楷体" w:hAnsi="楷体" w:eastAsia="楷体" w:cs="楷体"/>
          <w:bCs/>
          <w:snapToGrid/>
          <w:kern w:val="0"/>
          <w:sz w:val="32"/>
          <w:szCs w:val="32"/>
          <w:highlight w:val="none"/>
          <w:u w:val="single"/>
          <w:lang w:val="en-US" w:eastAsia="en-US" w:bidi="zh-CN"/>
        </w:rPr>
      </w:pPr>
      <w:r>
        <w:rPr>
          <w:rFonts w:hint="eastAsia" w:ascii="楷体" w:hAnsi="楷体" w:eastAsia="楷体" w:cs="楷体"/>
          <w:bCs/>
          <w:snapToGrid/>
          <w:kern w:val="0"/>
          <w:sz w:val="32"/>
          <w:szCs w:val="32"/>
          <w:highlight w:val="none"/>
          <w:lang w:val="en-US" w:eastAsia="en-US" w:bidi="zh-CN"/>
        </w:rPr>
        <w:t>甲方：</w:t>
      </w:r>
      <w:r>
        <w:rPr>
          <w:rFonts w:hint="eastAsia" w:ascii="楷体" w:hAnsi="楷体" w:eastAsia="楷体" w:cs="楷体"/>
          <w:bCs/>
          <w:snapToGrid/>
          <w:kern w:val="0"/>
          <w:sz w:val="32"/>
          <w:szCs w:val="32"/>
          <w:highlight w:val="none"/>
          <w:u w:val="single"/>
          <w:lang w:val="en-US" w:eastAsia="en-US" w:bidi="zh-CN"/>
        </w:rPr>
        <w:t>四川济通工程试验检测有限公司</w:t>
      </w:r>
    </w:p>
    <w:p w14:paraId="5912E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2042" w:leftChars="500" w:hanging="992" w:hangingChars="310"/>
        <w:jc w:val="center"/>
        <w:textAlignment w:val="auto"/>
        <w:rPr>
          <w:rFonts w:hint="default" w:ascii="楷体" w:hAnsi="楷体" w:eastAsia="楷体" w:cs="楷体"/>
          <w:bCs/>
          <w:snapToGrid/>
          <w:kern w:val="0"/>
          <w:sz w:val="32"/>
          <w:szCs w:val="32"/>
          <w:highlight w:val="none"/>
          <w:lang w:val="en-US" w:eastAsia="zh-CN" w:bidi="zh-CN"/>
        </w:rPr>
      </w:pPr>
    </w:p>
    <w:p w14:paraId="42F3E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240" w:firstLineChars="700"/>
        <w:jc w:val="both"/>
        <w:textAlignment w:val="auto"/>
        <w:rPr>
          <w:rFonts w:hint="default" w:ascii="楷体" w:hAnsi="楷体" w:eastAsia="楷体" w:cs="楷体"/>
          <w:bCs/>
          <w:snapToGrid/>
          <w:kern w:val="0"/>
          <w:sz w:val="32"/>
          <w:szCs w:val="32"/>
          <w:highlight w:val="none"/>
          <w:u w:val="single"/>
          <w:lang w:val="en-US" w:eastAsia="en-US" w:bidi="zh-CN"/>
        </w:rPr>
      </w:pPr>
      <w:r>
        <w:rPr>
          <w:rFonts w:hint="eastAsia" w:ascii="楷体" w:hAnsi="楷体" w:eastAsia="楷体" w:cs="楷体"/>
          <w:bCs/>
          <w:snapToGrid/>
          <w:kern w:val="0"/>
          <w:sz w:val="32"/>
          <w:szCs w:val="32"/>
          <w:highlight w:val="none"/>
          <w:lang w:val="en-US" w:eastAsia="en-US" w:bidi="zh-CN"/>
        </w:rPr>
        <w:t>乙方：</w:t>
      </w:r>
      <w:r>
        <w:rPr>
          <w:rFonts w:hint="eastAsia" w:ascii="楷体" w:hAnsi="楷体" w:eastAsia="楷体" w:cs="楷体"/>
          <w:bCs/>
          <w:snapToGrid/>
          <w:kern w:val="0"/>
          <w:sz w:val="32"/>
          <w:szCs w:val="32"/>
          <w:highlight w:val="none"/>
          <w:u w:val="single"/>
          <w:lang w:val="en-US" w:eastAsia="en-US" w:bidi="zh-CN"/>
        </w:rPr>
        <w:t xml:space="preserve">                           </w:t>
      </w:r>
    </w:p>
    <w:p w14:paraId="6D27C211">
      <w:pPr>
        <w:shd w:val="clear" w:color="auto" w:fill="auto"/>
        <w:spacing w:line="360" w:lineRule="auto"/>
        <w:jc w:val="both"/>
        <w:rPr>
          <w:rFonts w:hint="default" w:ascii="黑体" w:hAnsi="黑体" w:eastAsia="黑体" w:cs="黑体"/>
          <w:snapToGrid w:val="0"/>
          <w:color w:val="000000"/>
          <w:spacing w:val="17"/>
          <w:kern w:val="0"/>
          <w:position w:val="1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17"/>
          <w:kern w:val="0"/>
          <w:position w:val="1"/>
          <w:sz w:val="28"/>
          <w:szCs w:val="28"/>
          <w:lang w:val="en-US" w:eastAsia="zh-CN" w:bidi="ar-SA"/>
        </w:rPr>
        <w:t xml:space="preserve"> </w:t>
      </w:r>
    </w:p>
    <w:p w14:paraId="0E229CF9">
      <w:pPr>
        <w:shd w:val="clear" w:color="auto" w:fill="auto"/>
        <w:spacing w:line="360" w:lineRule="auto"/>
        <w:jc w:val="both"/>
        <w:rPr>
          <w:rFonts w:hint="eastAsia" w:ascii="黑体" w:hAnsi="黑体" w:eastAsia="黑体" w:cs="黑体"/>
          <w:snapToGrid w:val="0"/>
          <w:color w:val="000000"/>
          <w:spacing w:val="17"/>
          <w:kern w:val="0"/>
          <w:position w:val="1"/>
          <w:sz w:val="28"/>
          <w:szCs w:val="28"/>
          <w:lang w:val="en-US" w:eastAsia="zh-CN" w:bidi="ar-SA"/>
        </w:rPr>
      </w:pPr>
    </w:p>
    <w:p w14:paraId="53ABCC50">
      <w:pPr>
        <w:shd w:val="clear" w:color="auto" w:fill="auto"/>
        <w:spacing w:line="360" w:lineRule="auto"/>
        <w:jc w:val="both"/>
        <w:rPr>
          <w:rFonts w:hint="eastAsia" w:ascii="黑体" w:hAnsi="黑体" w:eastAsia="黑体" w:cs="黑体"/>
          <w:snapToGrid w:val="0"/>
          <w:color w:val="000000"/>
          <w:spacing w:val="17"/>
          <w:kern w:val="0"/>
          <w:position w:val="1"/>
          <w:sz w:val="28"/>
          <w:szCs w:val="28"/>
          <w:lang w:val="en-US" w:eastAsia="zh-CN" w:bidi="ar-SA"/>
        </w:rPr>
      </w:pPr>
    </w:p>
    <w:p w14:paraId="745BD831">
      <w:pPr>
        <w:spacing w:line="480" w:lineRule="auto"/>
        <w:jc w:val="center"/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  <w:lang w:val="en-US"/>
        </w:rPr>
      </w:pPr>
      <w:r>
        <w:rPr>
          <w:rFonts w:hint="eastAsia" w:ascii="楷体" w:hAnsi="楷体" w:eastAsia="楷体" w:cs="楷体"/>
          <w:bCs/>
          <w:sz w:val="32"/>
          <w:szCs w:val="32"/>
          <w:highlight w:val="none"/>
        </w:rPr>
        <w:t>签订地点：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  <w:lang w:val="en-US" w:eastAsia="zh-CN"/>
        </w:rPr>
        <w:t>四川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  <w:lang w:val="en-US"/>
        </w:rPr>
        <w:t>成都</w:t>
      </w:r>
    </w:p>
    <w:p w14:paraId="53027EDB">
      <w:pPr>
        <w:spacing w:line="48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楷体" w:hAnsi="楷体" w:eastAsia="楷体" w:cs="楷体"/>
          <w:bCs/>
          <w:sz w:val="32"/>
          <w:szCs w:val="32"/>
          <w:highlight w:val="none"/>
        </w:rPr>
        <w:t>签订时间：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</w:rPr>
        <w:t>年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u w:val="single"/>
        </w:rPr>
        <w:t>月</w:t>
      </w:r>
    </w:p>
    <w:p w14:paraId="17A60224">
      <w:pPr>
        <w:shd w:val="clear" w:color="auto" w:fill="auto"/>
        <w:spacing w:line="360" w:lineRule="auto"/>
        <w:jc w:val="center"/>
        <w:rPr>
          <w:rFonts w:hint="default" w:ascii="黑体" w:hAnsi="黑体" w:eastAsia="黑体" w:cs="黑体"/>
          <w:snapToGrid w:val="0"/>
          <w:color w:val="000000"/>
          <w:spacing w:val="17"/>
          <w:kern w:val="0"/>
          <w:position w:val="1"/>
          <w:sz w:val="30"/>
          <w:szCs w:val="30"/>
          <w:lang w:val="en-US" w:eastAsia="zh-CN" w:bidi="ar-SA"/>
        </w:rPr>
      </w:pPr>
    </w:p>
    <w:p w14:paraId="46594143">
      <w:pPr>
        <w:keepNext w:val="0"/>
        <w:keepLines w:val="0"/>
        <w:pageBreakBefore w:val="0"/>
        <w:widowControl/>
        <w:shd w:val="clear" w:color="auto" w:fill="auto"/>
        <w:wordWrap/>
        <w:overflowPunct/>
        <w:topLinePunct w:val="0"/>
        <w:bidi w:val="0"/>
        <w:snapToGrid w:val="0"/>
        <w:spacing w:line="500" w:lineRule="exact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spacing w:val="-4"/>
          <w:kern w:val="0"/>
          <w:sz w:val="32"/>
          <w:szCs w:val="32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2154" w:right="1440" w:bottom="1922" w:left="1644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0A3D655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napToGrid w:val="0"/>
          <w:kern w:val="0"/>
          <w:sz w:val="44"/>
          <w:szCs w:val="44"/>
          <w:lang w:val="en-US" w:eastAsia="zh-CN"/>
        </w:rPr>
        <w:t>采 购 合 同</w:t>
      </w:r>
    </w:p>
    <w:p w14:paraId="10A304D2">
      <w:pPr>
        <w:keepNext w:val="0"/>
        <w:keepLines w:val="0"/>
        <w:pageBreakBefore w:val="0"/>
        <w:widowControl/>
        <w:shd w:val="clear" w:color="auto" w:fill="auto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</w:rPr>
        <w:t>依据《中华人民共和国民法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典》及行业管理有关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法律法规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和规章，遵循平等、自愿、公平和诚实信用的原则，经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  <w:lang w:val="en-US" w:eastAsia="zh-CN"/>
        </w:rPr>
        <w:t>询价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</w:rPr>
        <w:t>采购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，甲乙双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方就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single"/>
          <w:lang w:val="en-US" w:eastAsia="zh-CN"/>
        </w:rPr>
        <w:t>监控设备采购及安装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singl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事项达成一致，订立本合同。</w:t>
      </w:r>
    </w:p>
    <w:p w14:paraId="43CDA5B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</w:rPr>
        <w:t>第一条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</w:rPr>
        <w:t>本合同签订依据</w:t>
      </w:r>
    </w:p>
    <w:p w14:paraId="2D864FE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1.《中华人民共和国民法典》。</w:t>
      </w:r>
    </w:p>
    <w:p w14:paraId="433A142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国家及地方、行业有关本专业的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法律法规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及相关技术标准和要求。</w:t>
      </w:r>
    </w:p>
    <w:p w14:paraId="6A155AD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</w:rPr>
        <w:t>第二条</w:t>
      </w: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</w:rPr>
        <w:t>合同文件的优先次序</w:t>
      </w:r>
    </w:p>
    <w:p w14:paraId="4629EDC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本合同的相关招标文件或询价文件、投标文件或报价文件、中标文件、合同履行过程中的往来函件等均为本合同的组成部分。构成本合同的文件可视为是能互相说明的，如果合同文件存在歧义或不一致，则根据如下优先次序来判断：</w:t>
      </w:r>
    </w:p>
    <w:p w14:paraId="12116B6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合同书及其附件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。</w:t>
      </w:r>
    </w:p>
    <w:p w14:paraId="34515B1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报价函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。</w:t>
      </w:r>
    </w:p>
    <w:p w14:paraId="301F3D3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</w:rPr>
        <w:t>第三条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</w:rPr>
        <w:t>项目名称、</w:t>
      </w: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  <w:lang w:val="en-US" w:eastAsia="zh-CN"/>
        </w:rPr>
        <w:t>地点、服务期限</w:t>
      </w:r>
    </w:p>
    <w:p w14:paraId="395EBB2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项目名称：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G0611郎木寺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川甘界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至川主寺段、G0611川主寺至汶川段、S14川主寺至红原高速公路项目外委原材料试验室监控设备采购及安装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。</w:t>
      </w:r>
    </w:p>
    <w:p w14:paraId="71DABB1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2.项目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</w:rPr>
        <w:t>地点：阿坝藏族自治州茂县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eastAsia="zh-CN"/>
        </w:rPr>
        <w:t>。</w:t>
      </w:r>
    </w:p>
    <w:p w14:paraId="7A4C8B7C">
      <w:pPr>
        <w:pStyle w:val="6"/>
        <w:keepNext w:val="0"/>
        <w:keepLines w:val="0"/>
        <w:pageBreakBefore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3.服务期限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</w:rPr>
        <w:t>：自项目中标之日起，10个日历天内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eastAsia="zh-CN"/>
        </w:rPr>
        <w:t>。</w:t>
      </w:r>
    </w:p>
    <w:p w14:paraId="39F38AB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wordWrap/>
        <w:overflowPunct/>
        <w:topLinePunct w:val="0"/>
        <w:bidi w:val="0"/>
        <w:snapToGrid w:val="0"/>
        <w:spacing w:line="560" w:lineRule="exact"/>
        <w:ind w:right="0" w:firstLine="643" w:firstLineChars="200"/>
        <w:jc w:val="both"/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  <w:u w:val="none"/>
          <w:lang w:val="en-US" w:eastAsia="zh-CN"/>
        </w:rPr>
        <w:t>第四条 服务</w:t>
      </w: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  <w:u w:val="none"/>
        </w:rPr>
        <w:t>内容</w:t>
      </w:r>
    </w:p>
    <w:p w14:paraId="1C42B65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乙方为甲方提供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G0611郎木寺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川甘界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至川主寺段、G0611川主寺至汶川段、S14川主寺至红原高速公路项目外委原材料试验室监控、安装服务。</w:t>
      </w:r>
    </w:p>
    <w:p w14:paraId="7351BC46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第五条 </w:t>
      </w:r>
      <w:r>
        <w:rPr>
          <w:rFonts w:hint="default" w:ascii="Times New Roman" w:hAnsi="Times New Roman" w:eastAsia="仿宋_GB2312" w:cs="Times New Roman"/>
          <w:b/>
          <w:snapToGrid w:val="0"/>
          <w:color w:val="auto"/>
          <w:kern w:val="0"/>
          <w:sz w:val="32"/>
          <w:szCs w:val="32"/>
          <w:lang w:val="en-US" w:eastAsia="zh-CN"/>
        </w:rPr>
        <w:t>采购价格</w:t>
      </w:r>
    </w:p>
    <w:tbl>
      <w:tblPr>
        <w:tblStyle w:val="8"/>
        <w:tblW w:w="940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510"/>
        <w:gridCol w:w="766"/>
        <w:gridCol w:w="797"/>
        <w:gridCol w:w="1232"/>
        <w:gridCol w:w="907"/>
        <w:gridCol w:w="3479"/>
      </w:tblGrid>
      <w:tr w14:paraId="558D01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tblHeader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4448B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eastAsia="宋体"/>
                <w:b/>
                <w:sz w:val="20"/>
                <w:lang w:val="en-US" w:eastAsia="zh-CN"/>
              </w:rPr>
              <w:t>序号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64E5E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  <w:t>类目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3E7306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hAnsi="Times New Roman" w:eastAsia="宋体" w:cs="Times New Roman"/>
                <w:b/>
                <w:bCs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宋体" w:hAnsi="Times New Roman" w:eastAsia="宋体" w:cs="Times New Roman"/>
                <w:b/>
                <w:bCs/>
                <w:sz w:val="20"/>
              </w:rPr>
              <w:t>数量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3DD28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  <w:t>单位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328523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  <w:t>单价</w:t>
            </w: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0515F1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  <w:t>小计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180794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0"/>
                <w:szCs w:val="24"/>
                <w:lang w:val="en-US" w:eastAsia="zh-CN"/>
              </w:rPr>
              <w:t>备注</w:t>
            </w:r>
          </w:p>
        </w:tc>
      </w:tr>
      <w:tr w14:paraId="4BD9DF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0EF1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1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54A69E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  <w:t>前端视频采集设备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6CCC4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73FE75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367F7E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69F18C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48D3D2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2694D9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2EBAC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2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530921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  <w:t>存储与管理设备NVR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4177C8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34F7F2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743D42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2113A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0D2D6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5C07EB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5A05B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3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4338B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传输网络设备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2DB77B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5ED2FC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54008D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547853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598833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6D642E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36F03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4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109425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网络汇聚核心传输设备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085A03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6F115C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44ED1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2D0A1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38557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17A98F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5218D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5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05963B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以太网光电转换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18A157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548BA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3A8EA4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68DB6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4D1505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2C283E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3A516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6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298B63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传输网络设备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34F732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04E8C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7EA4D4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74AFCE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2ED0B2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2DE8E9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11ABC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7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1DFF5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网络信息模块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6E2B6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77EBC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07E8E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46F557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29B035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25B825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2A704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8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759BF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综合管理平台软件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302378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622456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0D92C1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561C3D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2B7269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4B84A7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11605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9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6FFB7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数据双绞线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4992B9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6528F0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70102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5E8A40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2220E4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1D3232C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24617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10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03972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配线光缆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425841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5C8EE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05FB6D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6D127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54F7B0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3D42B9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47313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11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400B40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15B808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3FD9D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圈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3502CF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6F67F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569E07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4642EF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2BD5F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12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327EF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室外弱电防雨设备箱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50A27C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78F712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09E46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78C567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21E507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6D3958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46206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13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43B751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室内标准网络机柜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7B8B80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28732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4D185A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7A921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78ECFA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6980BB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690EF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14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5D444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监控级机械硬盘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1CEAD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06B1A1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72896D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3FB42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080F90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1184FE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2BD6A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15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5EEC1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光纤终端盒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302E3F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6DAC1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1BD400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74292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7A546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  <w:tr w14:paraId="3A2C5D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11DE8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16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41DB5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系统调试费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107822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5C1A8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0EF891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73A4B0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148D60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前端设备安装调试</w:t>
            </w:r>
          </w:p>
          <w:p w14:paraId="0FF8A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清单名称：前端摄像机及配套设备安装调试</w:t>
            </w:r>
          </w:p>
          <w:p w14:paraId="682431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工作内容：设备固定、箱体安装、电源线网线敷设端接、设备通电调试、图像调试、POE配置、点位标注、故障整改</w:t>
            </w:r>
          </w:p>
          <w:p w14:paraId="05C0E2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机房设备安装调试</w:t>
            </w:r>
          </w:p>
          <w:p w14:paraId="5788D8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清单名称：机房机柜及机房设备上架安装调试</w:t>
            </w:r>
          </w:p>
          <w:p w14:paraId="71031A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工作内容：机柜就位、交换机/NVR/硬盘上架安装、线缆理线端接、IP规划配置、平台添加设备、录像策略配置、整机系统联调、试运行、配合验收</w:t>
            </w:r>
          </w:p>
          <w:p w14:paraId="6E3CF9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光缆熔接与光路调试</w:t>
            </w:r>
          </w:p>
          <w:p w14:paraId="2AA26D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工作内容：光缆成端、终端盒安装、光纤熔接、法兰跳线制作、光路通断测试、链路连通调试</w:t>
            </w:r>
          </w:p>
        </w:tc>
      </w:tr>
      <w:tr w14:paraId="7B7F24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712" w:type="dxa"/>
            <w:tcBorders>
              <w:tl2br w:val="nil"/>
              <w:tr2bl w:val="nil"/>
            </w:tcBorders>
            <w:noWrap/>
            <w:vAlign w:val="center"/>
          </w:tcPr>
          <w:p w14:paraId="73C20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 w:val="0"/>
                <w:bCs w:val="0"/>
                <w:sz w:val="20"/>
                <w:szCs w:val="24"/>
                <w:lang w:val="en-US" w:eastAsia="zh-CN"/>
              </w:rPr>
              <w:t>17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noWrap w:val="0"/>
            <w:vAlign w:val="center"/>
          </w:tcPr>
          <w:p w14:paraId="47B1EA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  <w:t>安防系统配套辅材</w:t>
            </w:r>
          </w:p>
          <w:p w14:paraId="35ECF2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  <w:t>（含全部辅材）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33CD0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3570D9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eastAsia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10D256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6C4BAF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4A4650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前端点位辅材：摄像机安装配套辅材</w:t>
            </w:r>
          </w:p>
          <w:p w14:paraId="098A6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机房布线辅材：机房机柜布线配套辅材</w:t>
            </w:r>
          </w:p>
          <w:p w14:paraId="28F221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含膨胀螺丝、自攻螺丝、扎带、绝缘胶带、防水胶布、线卡、尼龙扎头、金属抱箍、防水密封圈、空开、小规格软管、标识标签、理线卡扣、接地端子等全套零星辅材；含安装耗材损耗，用于摄像机、箱体、机柜、线路配套安装</w:t>
            </w:r>
          </w:p>
        </w:tc>
      </w:tr>
      <w:tr w14:paraId="7E8D22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2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77127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eastAsia="宋体"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eastAsia="宋体"/>
                <w:b/>
                <w:kern w:val="2"/>
                <w:sz w:val="20"/>
                <w:szCs w:val="20"/>
                <w:lang w:val="en-US" w:eastAsia="zh-CN" w:bidi="ar-SA"/>
              </w:rPr>
              <w:t>合计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0B37B7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97" w:type="dxa"/>
            <w:tcBorders>
              <w:tl2br w:val="nil"/>
              <w:tr2bl w:val="nil"/>
            </w:tcBorders>
            <w:noWrap w:val="0"/>
            <w:vAlign w:val="center"/>
          </w:tcPr>
          <w:p w14:paraId="7D6624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2" w:type="dxa"/>
            <w:tcBorders>
              <w:tl2br w:val="nil"/>
              <w:tr2bl w:val="nil"/>
            </w:tcBorders>
            <w:noWrap w:val="0"/>
            <w:vAlign w:val="center"/>
          </w:tcPr>
          <w:p w14:paraId="3088D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Times New Roman" w:eastAsia="宋体" w:cs="Times New Roman"/>
                <w:b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l2br w:val="nil"/>
              <w:tr2bl w:val="nil"/>
            </w:tcBorders>
            <w:noWrap w:val="0"/>
            <w:vAlign w:val="center"/>
          </w:tcPr>
          <w:p w14:paraId="34216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Times New Roman" w:eastAsia="宋体" w:cs="Times New Roman"/>
                <w:b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vAlign w:val="center"/>
          </w:tcPr>
          <w:p w14:paraId="716B1C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b/>
                <w:i w:val="0"/>
                <w:iCs w:val="0"/>
                <w:color w:val="000000"/>
                <w:kern w:val="0"/>
                <w:sz w:val="20"/>
                <w:szCs w:val="24"/>
                <w:u w:val="none"/>
                <w:lang w:val="en-US" w:eastAsia="zh-CN" w:bidi="ar"/>
              </w:rPr>
            </w:pPr>
          </w:p>
        </w:tc>
      </w:tr>
    </w:tbl>
    <w:p w14:paraId="7663EA16">
      <w:pPr>
        <w:pStyle w:val="2"/>
        <w:keepNext w:val="0"/>
        <w:keepLines w:val="0"/>
        <w:pageBreakBefore w:val="0"/>
        <w:numPr>
          <w:ilvl w:val="0"/>
          <w:numId w:val="0"/>
        </w:numPr>
        <w:overflowPunct/>
        <w:bidi w:val="0"/>
        <w:spacing w:line="560" w:lineRule="exact"/>
        <w:ind w:right="0"/>
        <w:jc w:val="both"/>
        <w:rPr>
          <w:rFonts w:hint="default" w:ascii="Times New Roman" w:hAnsi="Times New Roman" w:eastAsia="仿宋_GB2312" w:cs="Times New Roman"/>
          <w:b/>
          <w:snapToGrid w:val="0"/>
          <w:color w:val="0000FF"/>
          <w:kern w:val="0"/>
          <w:sz w:val="32"/>
          <w:szCs w:val="32"/>
          <w:lang w:val="en-US" w:eastAsia="zh-CN" w:bidi="ar-SA"/>
        </w:rPr>
      </w:pPr>
    </w:p>
    <w:p w14:paraId="7B7C8EAA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>第</w:t>
      </w: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>六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>条</w:t>
      </w: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 xml:space="preserve"> 合同价格</w:t>
      </w:r>
    </w:p>
    <w:p w14:paraId="3FDE8753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 w:val="0"/>
        <w:snapToGrid/>
        <w:spacing w:line="560" w:lineRule="exact"/>
        <w:ind w:right="0" w:firstLine="612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本合同采用固定单价的方式，暂定合同总金额（含增值税）¥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元（大写：人民币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元整）。其中不含税价为¥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元（大写：人民币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），增值税税率为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%，增值税为¥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元（大写：人民币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），合同履行期限内不得调整价格，最终结算金额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以甲方验收合格的实际完成数量据实结算</w:t>
      </w:r>
      <w:r>
        <w:rPr>
          <w:rFonts w:hint="default" w:ascii="Times New Roman" w:hAnsi="Times New Roman" w:eastAsia="仿宋_GB2312" w:cs="Times New Roman"/>
          <w:snapToGrid w:val="0"/>
          <w:spacing w:val="-7"/>
          <w:kern w:val="0"/>
          <w:sz w:val="32"/>
          <w:szCs w:val="32"/>
          <w:highlight w:val="none"/>
        </w:rPr>
        <w:t>。</w:t>
      </w:r>
    </w:p>
    <w:p w14:paraId="2C0C54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overflowPunct/>
        <w:bidi w:val="0"/>
        <w:spacing w:line="560" w:lineRule="exact"/>
        <w:ind w:left="0" w:leftChars="0" w:right="0" w:firstLine="612" w:firstLineChars="200"/>
        <w:jc w:val="both"/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本合同单价为包干综合单价，包含设备费、辅材费、运输费、装卸费、布线施工费、安装调试费、人工费、培训费、税费、垃圾清运费、售后服务费等所有费用，合同履约期内单价固定不变，不作任何调整。</w:t>
      </w:r>
    </w:p>
    <w:p w14:paraId="47A891F0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>第</w:t>
      </w: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>七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>条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 xml:space="preserve"> 结算及支付方式</w:t>
      </w:r>
    </w:p>
    <w:p w14:paraId="3389CF4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overflowPunct/>
        <w:bidi w:val="0"/>
        <w:spacing w:line="560" w:lineRule="exact"/>
        <w:ind w:left="0" w:leftChars="0" w:right="0" w:firstLine="612" w:firstLineChars="200"/>
        <w:jc w:val="both"/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结算及支付方式：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乙方完成全部设备供货、安装、调试、试运行，系统运行正常，资料齐全，经甲方组织验收合格后，乙方按要求开具合法、有效、足额的增值税专用发票，甲方审核无误后20个日历天内，向乙方支付暂定合同总价的80%；本项目整体质保期满（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年），乙方完成全部维保义务、无遗留质量问题、无违约记录、双方完成质保终结验收后，甲方在20个日历天内无息支付剩余20%质保尾款。</w:t>
      </w:r>
    </w:p>
    <w:p w14:paraId="750713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overflowPunct/>
        <w:bidi w:val="0"/>
        <w:spacing w:line="560" w:lineRule="exact"/>
        <w:ind w:left="0" w:leftChars="0" w:right="0" w:firstLine="612" w:firstLineChars="200"/>
        <w:jc w:val="both"/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所有付款前提为：乙方须按甲方要求完成合同约定内容，且当期服务无质量问题、无投诉、无违约。</w:t>
      </w:r>
    </w:p>
    <w:p w14:paraId="0070198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.乙方指定转账银行信息：</w:t>
      </w:r>
    </w:p>
    <w:p w14:paraId="1F0E961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开户行：</w:t>
      </w:r>
    </w:p>
    <w:p w14:paraId="1FE71F2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户  名：</w:t>
      </w:r>
    </w:p>
    <w:p w14:paraId="323AB62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账户号：</w:t>
      </w:r>
    </w:p>
    <w:p w14:paraId="743796B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乙方应在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甲方要求时间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内将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监控系统安装完毕，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甲方验收后应予确认并负责保管。</w:t>
      </w:r>
    </w:p>
    <w:p w14:paraId="2393E7AD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 w:bidi="ar-SA"/>
        </w:rPr>
        <w:t>第八条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安装、调试及工期要求</w:t>
      </w:r>
    </w:p>
    <w:p w14:paraId="348B2C21">
      <w:pPr>
        <w:pStyle w:val="2"/>
        <w:numPr>
          <w:ilvl w:val="0"/>
          <w:numId w:val="0"/>
        </w:numPr>
        <w:ind w:left="0" w:leftChars="0" w:firstLine="640" w:firstLineChars="200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1.甲方负责提供现场施工条件、作业面、基础电源及必要的</w:t>
      </w:r>
    </w:p>
    <w:p w14:paraId="7319283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现场协调工作，及时通知乙方进场施工。</w:t>
      </w:r>
    </w:p>
    <w:p w14:paraId="1514937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2.乙方接到甲方进场通知后，须按时组织设备、人员进场施工，严格按照行业规范、安全标准及甲方要求完成窗帘安装、布线、固定、调试工作，确保窗帘正常使用。</w:t>
      </w:r>
    </w:p>
    <w:p w14:paraId="3A9E0C6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3.施工期间遇雨天、大风、极端天气、现场不具备施工条件等客观因素，工期可据实顺延，乙方需提前书面告知甲方。</w:t>
      </w:r>
    </w:p>
    <w:p w14:paraId="459A9DB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4.安装调试全过程须符合安防监控、弱电施工及试验室标准化建设要求，施工质量不合格的，乙方必须无条件无偿返工、整改，直至验收合格，产生的一切费用由乙方自行承担。</w:t>
      </w:r>
    </w:p>
    <w:p w14:paraId="32C4DF8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5.乙方施工须遵守甲方现场安全管理规定，做好安全防护，杜绝安全事故，施工期间发生的一切安全事故、人员伤亡、财产损失均由乙方全权负责。</w:t>
      </w:r>
    </w:p>
    <w:p w14:paraId="632A050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条 甲乙双方权利与义务</w:t>
      </w:r>
    </w:p>
    <w:p w14:paraId="3CA4FD8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（一）甲方权利与义务</w:t>
      </w:r>
    </w:p>
    <w:p w14:paraId="0F399201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1.甲方有权对乙方设备质量、进场材料、施工工艺、施工进度、服务质量进行全过程监督、检查、考核，对不合格部分有权要求乙方限期整改、返工、更换。</w:t>
      </w:r>
    </w:p>
    <w:p w14:paraId="6122598C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2.甲方负责提供施工所需现场基础条件，协调现场各方关系，保障乙方正常施工。</w:t>
      </w:r>
    </w:p>
    <w:p w14:paraId="23C3E32C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3.甲方按合同约定及时组织验收，并按约定节点支付合同款项。</w:t>
      </w:r>
    </w:p>
    <w:p w14:paraId="21C141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  <w:t>系统验收移交后，甲方负责设备日常使用、管理、防尘防</w:t>
      </w:r>
    </w:p>
    <w:p w14:paraId="2CA04F8F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潮及常规保管，规范操作人员使用设备。</w:t>
      </w:r>
    </w:p>
    <w:p w14:paraId="394A7D8E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（二）乙方权利与义务</w:t>
      </w:r>
    </w:p>
    <w:p w14:paraId="79CDB9C4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1.乙方保证所供设备为全新正品、原厂合格产品，规格参数、性能质量完全满足项目及行业标准，严禁翻新、次品、“三无”产品，一经发现甲方有权无条件退货、扣款、终止合同。</w:t>
      </w:r>
    </w:p>
    <w:p w14:paraId="132438E4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2.乙方严格按照工期、规范、标准完成供货、安装、调试、培训、验收、移交全部工作，确保系统稳定达标。</w:t>
      </w:r>
    </w:p>
    <w:p w14:paraId="0441033E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3.乙方须对甲方操作人员进行免费操作培训，教会设备查看、回放、简单故障排查、基础维护等操作，并提供操作说明。</w:t>
      </w:r>
    </w:p>
    <w:p w14:paraId="17B530D1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4.合同质保期内，乙方须全程提供免费售后维保、故障抢修、技术支持，接到甲方报修后及时响应、及时处置。</w:t>
      </w:r>
    </w:p>
    <w:p w14:paraId="3506421F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5.乙方施工过程中须爱护甲方现场设施，文明施工、工完场清，造成现场损坏的须无偿修复或赔偿。</w:t>
      </w:r>
    </w:p>
    <w:p w14:paraId="09DF28FD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6.乙方承担本项目施工、设备质量、售后维保全部责任，因设备质量、施工质量、服务不到位引发的一切损失由乙方承担。</w:t>
      </w:r>
    </w:p>
    <w:p w14:paraId="39008F0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十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条 设备验收与移交</w:t>
      </w:r>
    </w:p>
    <w:p w14:paraId="6F73B7F4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1.乙方完成全部安装调试、试运行正常后，向甲方提交书面验收申请及全套竣工资料。</w:t>
      </w:r>
    </w:p>
    <w:p w14:paraId="5984111E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2.甲方组织相关人员对设备数量、外观、安装质量、画面效果、录像存储、系统功能、运行稳定性进行整体验收。</w:t>
      </w:r>
    </w:p>
    <w:p w14:paraId="1AF3A457">
      <w:pPr>
        <w:pStyle w:val="2"/>
        <w:ind w:firstLine="640" w:firstLineChars="200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  <w:t>3.验收合格的，双方签署验收移交单，设备正式移交甲方使</w:t>
      </w:r>
    </w:p>
    <w:p w14:paraId="630EDE2C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验收不合格的，乙方限期整改，直至合格，工期不予顺延。</w:t>
      </w:r>
    </w:p>
    <w:p w14:paraId="47D0FCC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条 质保及售后服务</w:t>
      </w:r>
    </w:p>
    <w:p w14:paraId="55DE5771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  <w:t>1.本项目整体免费质保期为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  <w:t>年，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自项目整体验收合格、移交之日起计算。</w:t>
      </w:r>
    </w:p>
    <w:p w14:paraId="0D7C41EF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2.质保期内，因设备本身质量问题、施工安装问题导致的故障、损坏，乙方须免费维修、免费更换配件及设备，承担全部费用。因甲方人为损坏、外力破坏、私自改装、不可抗力导致的设备故障，乙方可提供维修服务，仅收取材料成本费，免收人工费。</w:t>
      </w:r>
    </w:p>
    <w:p w14:paraId="18BF9A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3.质保期内乙方须提供7×24小时技术咨询及故障响应服务，确保监控系统正常运行。</w:t>
      </w:r>
    </w:p>
    <w:p w14:paraId="1B90D614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质保期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满后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  <w:lang w:val="en-US" w:eastAsia="zh-CN" w:bidi="ar-SA"/>
        </w:rPr>
        <w:t>，乙方须</w:t>
      </w:r>
      <w:r>
        <w:rPr>
          <w:rFonts w:ascii="Times New Roman" w:hAnsi="Times New Roman" w:eastAsia="仿宋_GB2312" w:cs="Times New Roman"/>
          <w:snapToGrid w:val="0"/>
          <w:color w:val="000000"/>
          <w:spacing w:val="-7"/>
          <w:kern w:val="0"/>
          <w:sz w:val="32"/>
          <w:szCs w:val="32"/>
          <w:highlight w:val="none"/>
        </w:rPr>
        <w:t>承诺提供终身有偿维修服务，并明确维修收费标准。</w:t>
      </w:r>
    </w:p>
    <w:p w14:paraId="7B4DB27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b/>
          <w:snapToGrid w:val="0"/>
          <w:kern w:val="0"/>
          <w:sz w:val="32"/>
          <w:szCs w:val="32"/>
          <w:lang w:val="en-US" w:eastAsia="zh-CN"/>
        </w:rPr>
        <w:t>条 违约责任</w:t>
      </w:r>
    </w:p>
    <w:p w14:paraId="13518497">
      <w:pPr>
        <w:keepNext w:val="0"/>
        <w:keepLines w:val="0"/>
        <w:pageBreakBefore w:val="0"/>
        <w:widowControl/>
        <w:suppressLineNumbers w:val="0"/>
        <w:overflowPunct/>
        <w:bidi w:val="0"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1.乙方质量违约：乙方提供设备为非全新、不合格、参数不符、施工质量不达标，甲方有权要求无条件返工、换货、退货，乙方须承担由此产生的一切损失，同时甲方有权扣除相应合同款项；情节严重的，甲方有权单方解除合同，并追究乙方违约责任。</w:t>
      </w:r>
    </w:p>
    <w:p w14:paraId="2C168D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2.乙方工期违约：乙方未按甲方要求工期完成供货、安装、调试的，每逾期一日，按合同暂定总价的5%向甲方支付违约金，逾期超过7日，甲方有权终止合同并追责。</w:t>
      </w:r>
    </w:p>
    <w:p w14:paraId="29BAAE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  <w:t>3.服务违约：质保期内乙方拒不响应维修、拖延维保、服务不到位的，甲方有权另行委托第三方维修，产生费用全部由乙方承担，甲方从尾款中直接扣除。</w:t>
      </w:r>
    </w:p>
    <w:p w14:paraId="15E8C4C2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4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val="en-US" w:eastAsia="zh-CN" w:bidi="ar-SA"/>
        </w:rPr>
        <w:t>.任何一方单方面无故解除合同、拒不履行合同义务的，须赔偿对方因此造成的全部直接及间接损失。</w:t>
      </w:r>
    </w:p>
    <w:p w14:paraId="56774CF8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rightChars="0" w:firstLine="647" w:firstLineChars="20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spacing w:val="2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 xml:space="preserve">条 </w:t>
      </w: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</w:rPr>
        <w:t>争议解决条款</w:t>
      </w:r>
    </w:p>
    <w:p w14:paraId="7BDEF242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76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对于因本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  <w:lang w:val="en-US" w:eastAsia="zh-CN"/>
        </w:rPr>
        <w:t>合同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履行而发生的争议，双方应协商解决，协商不成，可向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  <w:lang w:val="en-US" w:eastAsia="zh-CN"/>
        </w:rPr>
        <w:t>甲方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所在地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  <w:lang w:eastAsia="zh-CN"/>
        </w:rPr>
        <w:t>人民法院提起诉讼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。</w:t>
      </w:r>
    </w:p>
    <w:p w14:paraId="0819B346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snapToGrid w:val="0"/>
        <w:spacing w:line="540" w:lineRule="exact"/>
        <w:ind w:right="0" w:firstLine="647" w:firstLineChars="200"/>
        <w:jc w:val="both"/>
        <w:outlineLvl w:val="0"/>
        <w:rPr>
          <w:rFonts w:hint="default" w:ascii="Times New Roman" w:hAnsi="Times New Roman" w:eastAsia="仿宋_GB2312" w:cs="Times New Roman"/>
          <w:b/>
          <w:bCs/>
          <w:spacing w:val="38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>第十</w:t>
      </w:r>
      <w:r>
        <w:rPr>
          <w:rFonts w:hint="eastAsia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 xml:space="preserve">条 </w:t>
      </w: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</w:rPr>
        <w:t>其他</w:t>
      </w:r>
      <w:r>
        <w:rPr>
          <w:rFonts w:hint="default" w:ascii="Times New Roman" w:hAnsi="Times New Roman" w:eastAsia="仿宋_GB2312" w:cs="Times New Roman"/>
          <w:b/>
          <w:bCs/>
          <w:spacing w:val="1"/>
          <w:sz w:val="32"/>
          <w:szCs w:val="32"/>
          <w:lang w:val="en-US" w:eastAsia="zh-CN"/>
        </w:rPr>
        <w:t>约定</w:t>
      </w:r>
    </w:p>
    <w:p w14:paraId="70A2C86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snapToGrid w:val="0"/>
        <w:spacing w:line="540" w:lineRule="exact"/>
        <w:ind w:right="0" w:firstLine="636" w:firstLineChars="200"/>
        <w:jc w:val="both"/>
        <w:outlineLvl w:val="0"/>
        <w:rPr>
          <w:rFonts w:hint="default"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本合同如有未尽事宜，可经双方协商签订补充协议，补充协议与本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合同</w:t>
      </w:r>
      <w:r>
        <w:rPr>
          <w:rFonts w:hint="default" w:ascii="Times New Roman" w:hAnsi="Times New Roman" w:eastAsia="仿宋_GB2312" w:cs="Times New Roman"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具有同等效力。如补充协议与本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val="en-US" w:eastAsia="zh-CN"/>
        </w:rPr>
        <w:t>合同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有条款不一致，则以补充协议约定为准。</w:t>
      </w:r>
    </w:p>
    <w:p w14:paraId="4DF363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snapToGrid w:val="0"/>
        <w:spacing w:line="540" w:lineRule="exact"/>
        <w:ind w:right="0" w:firstLine="640" w:firstLineChars="200"/>
        <w:jc w:val="both"/>
        <w:outlineLvl w:val="0"/>
        <w:rPr>
          <w:rFonts w:hint="default" w:ascii="Times New Roman" w:hAnsi="Times New Roman" w:eastAsia="仿宋_GB2312" w:cs="Times New Roman"/>
          <w:spacing w:val="-3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</w:rPr>
        <w:t>本合同自双方签字盖章之日起生效。</w:t>
      </w:r>
    </w:p>
    <w:p w14:paraId="695298F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snapToGrid w:val="0"/>
        <w:spacing w:line="540" w:lineRule="exact"/>
        <w:ind w:right="0" w:firstLine="636" w:firstLineChars="200"/>
        <w:jc w:val="both"/>
        <w:outlineLvl w:val="0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本合同一式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u w:val="single"/>
        </w:rPr>
        <w:t>贰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份，甲方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u w:val="single"/>
        </w:rPr>
        <w:t>壹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份、乙方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u w:val="single"/>
        </w:rPr>
        <w:t>壹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份，均具有同等法律效力。</w:t>
      </w:r>
    </w:p>
    <w:tbl>
      <w:tblPr>
        <w:tblStyle w:val="9"/>
        <w:tblpPr w:leftFromText="180" w:rightFromText="180" w:vertAnchor="text" w:horzAnchor="page" w:tblpX="1439" w:tblpY="802"/>
        <w:tblOverlap w:val="never"/>
        <w:tblW w:w="100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0"/>
        <w:gridCol w:w="4509"/>
      </w:tblGrid>
      <w:tr w14:paraId="4023D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5590" w:type="dxa"/>
            <w:tcBorders>
              <w:tl2br w:val="nil"/>
              <w:tr2bl w:val="nil"/>
            </w:tcBorders>
            <w:vAlign w:val="top"/>
          </w:tcPr>
          <w:p w14:paraId="520E0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甲方：四川济通工程试验检测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有限公司</w:t>
            </w:r>
          </w:p>
          <w:p w14:paraId="2FA22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（盖章）</w:t>
            </w:r>
          </w:p>
        </w:tc>
        <w:tc>
          <w:tcPr>
            <w:tcW w:w="4509" w:type="dxa"/>
            <w:tcBorders>
              <w:tl2br w:val="nil"/>
              <w:tr2bl w:val="nil"/>
            </w:tcBorders>
            <w:vAlign w:val="top"/>
          </w:tcPr>
          <w:p w14:paraId="32925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kern w:val="2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乙方：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u w:val="none"/>
              </w:rPr>
              <w:t>（盖章）</w:t>
            </w:r>
          </w:p>
          <w:p w14:paraId="2C999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840" w:leftChars="0" w:hanging="840" w:hangingChars="300"/>
              <w:jc w:val="right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7A13B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5590" w:type="dxa"/>
            <w:tcBorders>
              <w:tl2br w:val="nil"/>
              <w:tr2bl w:val="nil"/>
            </w:tcBorders>
            <w:vAlign w:val="center"/>
          </w:tcPr>
          <w:p w14:paraId="20411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法定代表人</w:t>
            </w:r>
          </w:p>
          <w:p w14:paraId="4FA32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或委托代理人：       （签字）</w:t>
            </w:r>
          </w:p>
        </w:tc>
        <w:tc>
          <w:tcPr>
            <w:tcW w:w="4509" w:type="dxa"/>
            <w:tcBorders>
              <w:tl2br w:val="nil"/>
              <w:tr2bl w:val="nil"/>
            </w:tcBorders>
            <w:vAlign w:val="center"/>
          </w:tcPr>
          <w:p w14:paraId="0C020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法定代表人</w:t>
            </w:r>
          </w:p>
          <w:p w14:paraId="17D62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或委托代理人：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（签字）     </w:t>
            </w:r>
          </w:p>
        </w:tc>
      </w:tr>
      <w:tr w14:paraId="58683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5590" w:type="dxa"/>
            <w:tcBorders>
              <w:tl2br w:val="nil"/>
              <w:tr2bl w:val="nil"/>
            </w:tcBorders>
            <w:vAlign w:val="center"/>
          </w:tcPr>
          <w:p w14:paraId="798B8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经办人：</w:t>
            </w:r>
          </w:p>
          <w:p w14:paraId="235B9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  <w:t>地址：成都蛟龙工业港双流园区威海路7座150号</w:t>
            </w:r>
          </w:p>
        </w:tc>
        <w:tc>
          <w:tcPr>
            <w:tcW w:w="4509" w:type="dxa"/>
            <w:tcBorders>
              <w:tl2br w:val="nil"/>
              <w:tr2bl w:val="nil"/>
            </w:tcBorders>
            <w:vAlign w:val="center"/>
          </w:tcPr>
          <w:p w14:paraId="0D93D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</w:pPr>
          </w:p>
          <w:p w14:paraId="6E429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</w:pPr>
          </w:p>
          <w:p w14:paraId="56BAD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  <w:t>地址：</w:t>
            </w:r>
          </w:p>
        </w:tc>
      </w:tr>
      <w:tr w14:paraId="7461B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5590" w:type="dxa"/>
            <w:tcBorders>
              <w:tl2br w:val="nil"/>
              <w:tr2bl w:val="nil"/>
            </w:tcBorders>
            <w:vAlign w:val="center"/>
          </w:tcPr>
          <w:p w14:paraId="3B5A0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时间：    年  月  日</w:t>
            </w:r>
          </w:p>
        </w:tc>
        <w:tc>
          <w:tcPr>
            <w:tcW w:w="4509" w:type="dxa"/>
            <w:tcBorders>
              <w:tl2br w:val="nil"/>
              <w:tr2bl w:val="nil"/>
            </w:tcBorders>
            <w:vAlign w:val="center"/>
          </w:tcPr>
          <w:p w14:paraId="3E296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时间：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  年  月  日</w:t>
            </w:r>
          </w:p>
        </w:tc>
      </w:tr>
    </w:tbl>
    <w:p w14:paraId="7A108BA1">
      <w:pPr>
        <w:keepNext w:val="0"/>
        <w:keepLines w:val="0"/>
        <w:pageBreakBefore w:val="0"/>
        <w:wordWrap/>
        <w:overflowPunct/>
        <w:topLinePunct w:val="0"/>
        <w:bidi w:val="0"/>
        <w:spacing w:line="540" w:lineRule="exact"/>
        <w:ind w:right="0" w:firstLine="636" w:firstLineChars="200"/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-1"/>
          <w:kern w:val="0"/>
          <w:sz w:val="32"/>
          <w:szCs w:val="32"/>
          <w:lang w:val="en-US" w:eastAsia="zh-CN" w:bidi="ar-SA"/>
        </w:rPr>
        <w:t>附件：XX报价函</w:t>
      </w:r>
    </w:p>
    <w:sectPr>
      <w:footerReference r:id="rId5" w:type="default"/>
      <w:pgSz w:w="11906" w:h="16838"/>
      <w:pgMar w:top="2154" w:right="1440" w:bottom="1922" w:left="164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D2F8D">
    <w:pPr>
      <w:spacing w:line="174" w:lineRule="auto"/>
      <w:ind w:left="4163"/>
      <w:rPr>
        <w:rFonts w:hint="eastAsia" w:ascii="Times New Roman" w:hAnsi="Times New Roman" w:eastAsia="宋体" w:cs="Times New Roman"/>
        <w:sz w:val="15"/>
        <w:szCs w:val="15"/>
        <w:lang w:val="en-US" w:eastAsia="zh-CN"/>
      </w:rPr>
    </w:pPr>
    <w:r>
      <w:rPr>
        <w:sz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2749550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C70B06"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6.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BHCY91gAAAAgBAAAPAAAAAAAAAAEAIAAAACIAAABkcnMvZG93bnJldi54bWxQ&#10;SwECFAAUAAAACACHTuJA9YuHZD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C70B06"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E7C9A">
    <w:pPr>
      <w:pStyle w:val="7"/>
      <w:rPr>
        <w:rFonts w:hint="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F51B03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F51B03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F377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ywiaGRpZCI6ImU2Y2E1YTllYjFmZDNiMTUwNDI0MDdjOTY4YTJiNGUzIiwidXNlckNvdW50IjoxfQ=="/>
  </w:docVars>
  <w:rsids>
    <w:rsidRoot w:val="700C306B"/>
    <w:rsid w:val="030C6B23"/>
    <w:rsid w:val="046554EC"/>
    <w:rsid w:val="04E35684"/>
    <w:rsid w:val="05A052CB"/>
    <w:rsid w:val="06692375"/>
    <w:rsid w:val="0722181A"/>
    <w:rsid w:val="07F23CC0"/>
    <w:rsid w:val="0A3E3C32"/>
    <w:rsid w:val="0A5E5D32"/>
    <w:rsid w:val="0F1B3787"/>
    <w:rsid w:val="0FE63986"/>
    <w:rsid w:val="1032785A"/>
    <w:rsid w:val="108B11D8"/>
    <w:rsid w:val="10E64CED"/>
    <w:rsid w:val="11B03549"/>
    <w:rsid w:val="13C609E5"/>
    <w:rsid w:val="16A46BE8"/>
    <w:rsid w:val="19E8395C"/>
    <w:rsid w:val="1B886580"/>
    <w:rsid w:val="1C6012AB"/>
    <w:rsid w:val="1CEB14BC"/>
    <w:rsid w:val="1D9C5353"/>
    <w:rsid w:val="1F204D21"/>
    <w:rsid w:val="200978FC"/>
    <w:rsid w:val="21A92050"/>
    <w:rsid w:val="22636AE2"/>
    <w:rsid w:val="23902475"/>
    <w:rsid w:val="255163B5"/>
    <w:rsid w:val="267B4654"/>
    <w:rsid w:val="2A602AFC"/>
    <w:rsid w:val="2AD462DD"/>
    <w:rsid w:val="2C920913"/>
    <w:rsid w:val="2CD51841"/>
    <w:rsid w:val="2E110657"/>
    <w:rsid w:val="2F0F757D"/>
    <w:rsid w:val="2FDF25DC"/>
    <w:rsid w:val="32CA7482"/>
    <w:rsid w:val="33AF48A3"/>
    <w:rsid w:val="341344FC"/>
    <w:rsid w:val="3513027C"/>
    <w:rsid w:val="37471EB4"/>
    <w:rsid w:val="381B5CF1"/>
    <w:rsid w:val="38B9730C"/>
    <w:rsid w:val="396226AE"/>
    <w:rsid w:val="3AA637EA"/>
    <w:rsid w:val="3C3F4290"/>
    <w:rsid w:val="3D117804"/>
    <w:rsid w:val="4138009C"/>
    <w:rsid w:val="42D953A1"/>
    <w:rsid w:val="42F0558C"/>
    <w:rsid w:val="43F91B37"/>
    <w:rsid w:val="443A225E"/>
    <w:rsid w:val="44CA5005"/>
    <w:rsid w:val="46A165C4"/>
    <w:rsid w:val="4C627B4C"/>
    <w:rsid w:val="4CA11BB9"/>
    <w:rsid w:val="4D220B86"/>
    <w:rsid w:val="4D7E765F"/>
    <w:rsid w:val="4DA71509"/>
    <w:rsid w:val="4E5F7CAC"/>
    <w:rsid w:val="4ECC27AE"/>
    <w:rsid w:val="4F716D4F"/>
    <w:rsid w:val="4F7E3A68"/>
    <w:rsid w:val="4FEC4AB8"/>
    <w:rsid w:val="5160707C"/>
    <w:rsid w:val="51854E9C"/>
    <w:rsid w:val="5502560F"/>
    <w:rsid w:val="577C5C4D"/>
    <w:rsid w:val="594B0611"/>
    <w:rsid w:val="5C2A6C04"/>
    <w:rsid w:val="63037217"/>
    <w:rsid w:val="64544313"/>
    <w:rsid w:val="648D36B2"/>
    <w:rsid w:val="649578AD"/>
    <w:rsid w:val="654F286E"/>
    <w:rsid w:val="69196823"/>
    <w:rsid w:val="699456BD"/>
    <w:rsid w:val="6D6547D9"/>
    <w:rsid w:val="6E584B4D"/>
    <w:rsid w:val="700C306B"/>
    <w:rsid w:val="70AB7EBB"/>
    <w:rsid w:val="70C50F0F"/>
    <w:rsid w:val="735C099D"/>
    <w:rsid w:val="74600FC0"/>
    <w:rsid w:val="76061D32"/>
    <w:rsid w:val="792A1B99"/>
    <w:rsid w:val="7BBA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 w:line="256" w:lineRule="auto"/>
      <w:ind w:left="0" w:leftChars="0"/>
    </w:pPr>
    <w:rPr>
      <w:rFonts w:ascii="Calibri" w:hAnsi="Calibri" w:cs="Times New Roman"/>
      <w:color w:val="FF0000"/>
      <w:kern w:val="2"/>
      <w:sz w:val="20"/>
      <w:szCs w:val="20"/>
      <w:lang w:val="en-US" w:bidi="ar-SA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ody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Default"/>
    <w:basedOn w:val="13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正文_1"/>
    <w:basedOn w:val="14"/>
    <w:autoRedefine/>
    <w:qFormat/>
    <w:uiPriority w:val="99"/>
    <w:rPr>
      <w:rFonts w:ascii="Calibri" w:hAnsi="Calibri"/>
      <w:sz w:val="21"/>
    </w:rPr>
  </w:style>
  <w:style w:type="paragraph" w:customStyle="1" w:styleId="14">
    <w:name w:val="正文_2"/>
    <w:autoRedefine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d484c900-6d50-457e-8a50-ee1a20ad176c\&#30417;&#25511;&#35774;&#22791;&#23433;&#35013;&#21512;&#21516;&#33539;&#2641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e6b7eaf5-01be-4d39-9cec-ff389ed0ae4f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7D14C213</paraID>
      <start>7</start>
      <end>8</end>
      <status>modified</status>
      <modifiedWord>：</modifiedWord>
      <trackRevisions>false</trackRevisions>
    </reviewItem>
    <reviewItem>
      <errorID>3b752118-89ba-4cef-8f95-f137d3e6be10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10A304D2</paraID>
      <start>21</start>
      <end>25</end>
      <status>modified</status>
      <modifiedWord>法律法规</modifiedWord>
      <trackRevisions>false</trackRevisions>
    </reviewItem>
    <reviewItem>
      <errorID>23aa3b2e-3931-4b1d-8860-bc82a3217d28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433A1427</paraID>
      <start>16</start>
      <end>20</end>
      <status>modified</status>
      <modifiedWord>法律法规</modifiedWord>
      <trackRevisions>false</trackRevisions>
    </reviewItem>
    <reviewItem>
      <errorID>c938947f-2a7e-43c1-b1c7-8de6b759a928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7319283D</paraID>
      <start>0</start>
      <end>2</end>
      <status>modified</status>
      <modifiedWord>1.</modifiedWord>
      <trackRevisions>false</trackRevisions>
    </reviewItem>
    <reviewItem>
      <errorID>6a6682cf-3dca-489e-a0a8-faa523829b84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 F399201</paraID>
      <start>35</start>
      <end>37</end>
      <status>modified</status>
      <modifiedWord>全过</modifiedWord>
      <trackRevisions>false</trackRevisions>
    </reviewItem>
    <reviewItem>
      <errorID>b05b70f2-7df2-4846-8a2e-c1e509d81aff</errorID>
      <errorWord>三无产品</errorWord>
      <group>L1_Punc</group>
      <groupName>标点问题</groupName>
      <ability>L2_Punc_CN</ability>
      <abilityName/>
      <candidateList>
        <item>“三无”产品</item>
      </candidateList>
      <explain/>
      <paraID>79CDB9C4</paraID>
      <start>52</start>
      <end>58</end>
      <status>modified</status>
      <modifiedWord>“三无”产品</modifiedWord>
      <trackRevisions>false</trackRevisions>
    </reviewItem>
    <reviewItem>
      <errorID>fb85ed04-fdd1-4e99-9f6e-0054e71c6305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2C168DFA</paraID>
      <start>60</start>
      <end>62</end>
      <status>modified</status>
      <modifiedWord>超过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b56970-85bd-4e96-869f-d8104c36ee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监控设备安装合同范本.docx</Template>
  <Pages>9</Pages>
  <Words>3432</Words>
  <Characters>3541</Characters>
  <Lines>0</Lines>
  <Paragraphs>0</Paragraphs>
  <TotalTime>14</TotalTime>
  <ScaleCrop>false</ScaleCrop>
  <LinksUpToDate>false</LinksUpToDate>
  <CharactersWithSpaces>3655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2021-11-11T03:58:00Z</dcterms:created>
  <dc:creator>极光科技有限公司</dc:creator>
  <cp:lastModifiedBy>çå°</cp:lastModifiedBy>
  <cp:lastPrinted>2023-12-08T02:58:00Z</cp:lastPrinted>
  <dcterms:modified xsi:type="dcterms:W3CDTF">2026-06-17T09:02:14Z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UUID">
    <vt:lpwstr>v1.0_mb_ktv6OI3ulrXa0OfgoDubJw==</vt:lpwstr>
  </property>
  <property fmtid="{D5CDD505-2E9C-101B-9397-08002B2CF9AE}" pid="4" name="ICV">
    <vt:lpwstr>78E8E3C0676A4CDAA4E3FB79032CEC6E_13</vt:lpwstr>
  </property>
  <property fmtid="{D5CDD505-2E9C-101B-9397-08002B2CF9AE}" pid="5" name="KSOTemplateDocerSaveRecord">
    <vt:lpwstr>eyJoZGlkIjoiOTZjMzM1Mjg3NjcxZTg5MzQ2N2EwM2NmOWVlMzIzOWMiLCJ1c2VySWQiOiI0ODczODU1MDgifQ==</vt:lpwstr>
  </property>
</Properties>
</file>