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W w:w="148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1245"/>
        <w:gridCol w:w="11734"/>
      </w:tblGrid>
      <w:tr w14:paraId="4C1DA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836" w:type="dxa"/>
            <w:vAlign w:val="center"/>
          </w:tcPr>
          <w:p w14:paraId="66CAC73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设备名称</w:t>
            </w:r>
          </w:p>
        </w:tc>
        <w:tc>
          <w:tcPr>
            <w:tcW w:w="1245" w:type="dxa"/>
            <w:vAlign w:val="center"/>
          </w:tcPr>
          <w:p w14:paraId="3D416EB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1734" w:type="dxa"/>
            <w:shd w:val="clear" w:color="auto" w:fill="auto"/>
            <w:vAlign w:val="center"/>
          </w:tcPr>
          <w:p w14:paraId="132EC3E5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参数</w:t>
            </w:r>
          </w:p>
        </w:tc>
      </w:tr>
      <w:tr w14:paraId="37A75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36" w:type="dxa"/>
            <w:vAlign w:val="center"/>
          </w:tcPr>
          <w:p w14:paraId="6FF47BF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微机控制拉伸应力松驰试验机</w:t>
            </w:r>
          </w:p>
        </w:tc>
        <w:tc>
          <w:tcPr>
            <w:tcW w:w="1245" w:type="dxa"/>
            <w:vAlign w:val="center"/>
          </w:tcPr>
          <w:p w14:paraId="375A1E75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一台</w:t>
            </w:r>
          </w:p>
        </w:tc>
        <w:tc>
          <w:tcPr>
            <w:tcW w:w="11734" w:type="dxa"/>
            <w:shd w:val="clear" w:color="auto" w:fill="auto"/>
            <w:vAlign w:val="center"/>
          </w:tcPr>
          <w:p w14:paraId="397C0C8A">
            <w:pPr>
              <w:spacing w:line="276" w:lineRule="auto"/>
              <w:contextualSpacing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设备需满足《预应力混凝土用钢绞线》GB/T 5224—2023、《预应力混凝土用钢材试验方法》GB/T 21839-2019、《金属材料拉伸应力松弛试验方法》GB/T10120-2013中钢绞线松驰率的测定试验要求。</w:t>
            </w:r>
          </w:p>
          <w:p w14:paraId="7C2FC17E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生产厂家需具有认证证书：ISO 9001质量管理体系认证证书、ISO 14001环境管理体系认证证书、ISO 45001职业健康安全管理体系认证证书、国家专精特新“小巨人”企业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（提供相关证明材料）</w:t>
            </w:r>
          </w:p>
          <w:p w14:paraId="74845947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最大试验力：300kN</w:t>
            </w:r>
          </w:p>
          <w:p w14:paraId="6181A002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有效测量范围：2%—100%FS</w:t>
            </w:r>
          </w:p>
          <w:p w14:paraId="6F3D4E56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pacing w:val="7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最大采样频率：≥2.5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KHz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；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试验力分辨力：≥1/7000000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FS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highlight w:val="none"/>
              </w:rPr>
              <w:t>；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（提供相关证明材料）</w:t>
            </w:r>
          </w:p>
          <w:p w14:paraId="77ABFAB8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示值准确度：≤±0.5%</w:t>
            </w:r>
          </w:p>
          <w:p w14:paraId="7FB44D39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钢铰线夹具规格：φ12.7、φ15.2 、φ17.8mm</w:t>
            </w:r>
          </w:p>
          <w:p w14:paraId="1AA31879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夹头移动速度：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0.005～50mm/min</w:t>
            </w:r>
          </w:p>
          <w:p w14:paraId="12B453A5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变形测量范围：0～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mm</w:t>
            </w:r>
          </w:p>
          <w:p w14:paraId="6FD1600D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变形示值相对误差：±0.5%</w:t>
            </w:r>
          </w:p>
          <w:p w14:paraId="2A955CD5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位移分辨力：0.01μm</w:t>
            </w:r>
          </w:p>
          <w:p w14:paraId="2D884728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加载头位移示值相对误差：±0.5%</w:t>
            </w:r>
          </w:p>
          <w:p w14:paraId="527908D3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力加载速度范围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0.06～6 kN/s</w:t>
            </w:r>
          </w:p>
          <w:p w14:paraId="342BB515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加荷速度控制相对误差：±0.5%</w:t>
            </w:r>
          </w:p>
          <w:p w14:paraId="513752CB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温度测量分辨力：0.1℃</w:t>
            </w:r>
          </w:p>
          <w:p w14:paraId="06A6D82E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加载头最大有效行程：100mm</w:t>
            </w:r>
          </w:p>
          <w:p w14:paraId="3AA63C84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试验空间（夹头最大间距）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2250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mm</w:t>
            </w:r>
          </w:p>
          <w:p w14:paraId="72271CF7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控制器无故障（MIBF）时间≥3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00小时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（提供相关证明材料）</w:t>
            </w:r>
          </w:p>
          <w:p w14:paraId="7D1F95C6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控制器可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配置配套静态应变仪，静态应变仪的应变信号必须直接接入基于 DSP 全数字闭环电气系统的高分辨率三闭环控制系统,以便实现真实的实时应变控制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(投标人出具承诺函原件) </w:t>
            </w:r>
          </w:p>
          <w:p w14:paraId="7CB03921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300KN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卧式主机1台</w:t>
            </w:r>
          </w:p>
          <w:p w14:paraId="44D2A560">
            <w:pPr>
              <w:pStyle w:val="38"/>
              <w:spacing w:before="25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cs="宋体"/>
                <w:spacing w:val="7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高分辨率三闭环全数字化伺服控制器1套</w:t>
            </w:r>
          </w:p>
          <w:p w14:paraId="0F8B2FE8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钢绞线专用夹具1套（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φ12.7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mm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、φ15.2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mm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、φ17.8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mm钢绞线夹具）</w:t>
            </w:r>
          </w:p>
          <w:p w14:paraId="3FD7FA95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变形测量装置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1套</w:t>
            </w:r>
          </w:p>
          <w:p w14:paraId="0E055FEF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联想计算机1台</w:t>
            </w:r>
          </w:p>
          <w:p w14:paraId="445ACA69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惠普打印机1台</w:t>
            </w:r>
          </w:p>
          <w:p w14:paraId="4CAF4914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专业试验软件1套</w:t>
            </w:r>
            <w:r>
              <w:rPr>
                <w:rFonts w:hint="eastAsia" w:ascii="宋体" w:hAnsi="宋体" w:eastAsia="宋体" w:cs="宋体"/>
                <w:b/>
                <w:bCs/>
                <w:spacing w:val="8"/>
                <w:sz w:val="21"/>
                <w:szCs w:val="21"/>
              </w:rPr>
              <w:t>（具有国家版权局出具的著作权</w:t>
            </w:r>
            <w:r>
              <w:rPr>
                <w:rFonts w:hint="eastAsia" w:ascii="宋体" w:hAnsi="宋体" w:eastAsia="宋体" w:cs="宋体"/>
                <w:b/>
                <w:bCs/>
                <w:spacing w:val="3"/>
                <w:sz w:val="21"/>
                <w:szCs w:val="21"/>
              </w:rPr>
              <w:t>证书）</w:t>
            </w:r>
          </w:p>
          <w:p w14:paraId="67BCE7FE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27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随机工具1套（夹块更换专用工具）</w:t>
            </w:r>
          </w:p>
          <w:p w14:paraId="0CA282C7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全封闭安全防护罩1套</w:t>
            </w:r>
          </w:p>
          <w:p w14:paraId="2FD790B7">
            <w:pPr>
              <w:spacing w:line="240" w:lineRule="auto"/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val="en-US" w:eastAsia="zh-CN"/>
              </w:rPr>
              <w:t>29</w:t>
            </w:r>
            <w:r>
              <w:rPr>
                <w:rFonts w:hint="eastAsia" w:ascii="宋体" w:hAnsi="宋体" w:cs="宋体"/>
                <w:spacing w:val="7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控制系统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val="en-US" w:eastAsia="zh-CN"/>
              </w:rPr>
              <w:t>及软件具有功能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：支持正弦波，梯形波、方波、三角波、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保载控制；控制通道不限于力、位移、变形、三个闭环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通道，支持最多16通道闭环控制，且平稳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切换无冲击；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（提供相关证明材料）</w:t>
            </w:r>
          </w:p>
          <w:p w14:paraId="1183A9F2"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要求设备结构完善合理，设备具有足够的静态、动态刚度。为保证设备兼容性，要求机架、底座、变形测量系统、自诊断系统、控制系统含试验软件与主机为同一品牌。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（提供相关证明材料）</w:t>
            </w:r>
            <w:bookmarkStart w:id="1" w:name="_GoBack"/>
            <w:bookmarkEnd w:id="1"/>
          </w:p>
        </w:tc>
      </w:tr>
      <w:tr w14:paraId="3AD6D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03EB839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路面渗水仪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2F01ECA1">
            <w:pPr>
              <w:pStyle w:val="19"/>
              <w:numPr>
                <w:ilvl w:val="1"/>
                <w:numId w:val="0"/>
              </w:numPr>
              <w:spacing w:line="276" w:lineRule="auto"/>
              <w:ind w:left="0" w:leftChars="0" w:firstLine="0" w:firstLineChars="0"/>
              <w:contextualSpacing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  <w:t>一台</w:t>
            </w:r>
          </w:p>
        </w:tc>
        <w:tc>
          <w:tcPr>
            <w:tcW w:w="11734" w:type="dxa"/>
            <w:shd w:val="clear" w:color="auto" w:fill="auto"/>
            <w:vAlign w:val="center"/>
          </w:tcPr>
          <w:p w14:paraId="20389F34">
            <w:pPr>
              <w:pStyle w:val="19"/>
              <w:numPr>
                <w:ilvl w:val="1"/>
                <w:numId w:val="0"/>
              </w:numPr>
              <w:spacing w:line="360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要求总则：</w:t>
            </w:r>
          </w:p>
          <w:p w14:paraId="254CA5FD">
            <w:pPr>
              <w:spacing w:line="276" w:lineRule="auto"/>
              <w:ind w:firstLine="420" w:firstLineChars="20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设备需满足《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公路工程沥青及沥青混合料试验规程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》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JTG 3410-2025中T0730测定沥青混合料渗水系数规定的要求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</w:t>
            </w:r>
          </w:p>
          <w:p w14:paraId="5294F560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二、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技术参数要求：</w:t>
            </w:r>
          </w:p>
          <w:p w14:paraId="4DF76726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1、设备为半自动式，上部为透明有机玻璃量筒，容积600mL，上有刻度线；</w:t>
            </w:r>
          </w:p>
          <w:p w14:paraId="66EE699C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2、在100mL及500mL处有粗标线，10mm高度为20mL；</w:t>
            </w:r>
          </w:p>
          <w:p w14:paraId="770D2448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3、下部为透明有机玻璃筒，外径140mm，内径125mm；通过铝或者不锈钢材质的连接座与上部相接，通过固定座固定在底座上；</w:t>
            </w:r>
          </w:p>
          <w:p w14:paraId="53662697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4、底座为铝或者不锈钢材质，底座下方开口150～151mm、外径300mm，上方中部有一个出水口，直径为25mm±2mm；</w:t>
            </w:r>
          </w:p>
          <w:p w14:paraId="5D7319AF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5、渗水仪内部设置一个活塞，底部为橡胶塞，渗水仪内部设置一个液位传感器，其与外部显示器连接，试验时显示器实时显示液面高度；</w:t>
            </w:r>
          </w:p>
          <w:p w14:paraId="5C069E0C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6、套环：金属圆环，底部为刀口，外径149～150mm，宽度5mm，上壁厚约5mm，可防止密封材料被挤压进入测试面而导致渗水面积不一致；</w:t>
            </w:r>
          </w:p>
          <w:p w14:paraId="5EEBC0FE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7、塑料圈：内径150mm，外径300mm；</w:t>
            </w:r>
          </w:p>
          <w:p w14:paraId="48E9085F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8、配重：铸铁或不锈钢，量块1/2圆，总质量约10kg；</w:t>
            </w:r>
          </w:p>
          <w:p w14:paraId="327BB037">
            <w:pPr>
              <w:pStyle w:val="19"/>
              <w:numPr>
                <w:ilvl w:val="1"/>
                <w:numId w:val="0"/>
              </w:numPr>
              <w:spacing w:line="276" w:lineRule="auto"/>
              <w:ind w:left="0" w:leftChars="0" w:firstLine="0" w:firstLineChars="0"/>
              <w:contextualSpacing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9、设备内置锂电池，触摸屏显示，可中英文切换，显示屏可实时监测渗水量和渗水时间，自带打印功能。</w:t>
            </w:r>
          </w:p>
        </w:tc>
      </w:tr>
      <w:tr w14:paraId="57F18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6D31E5D3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土工布气动拉伸夹具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4625265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  <w:t>一套</w:t>
            </w:r>
          </w:p>
        </w:tc>
        <w:tc>
          <w:tcPr>
            <w:tcW w:w="11734" w:type="dxa"/>
            <w:shd w:val="clear" w:color="auto" w:fill="auto"/>
            <w:vAlign w:val="center"/>
          </w:tcPr>
          <w:p w14:paraId="3D79D9CE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1.夹具适用于土工布等布料材质的拉伸试验，执行标准 GB/T 15788-2017 土工合成材料拉伸试验方法（可配套使用土工布专用大变形），采用气动夹持方式，夹持方便可靠不滑移，更换钳口方便。</w:t>
            </w:r>
          </w:p>
          <w:p w14:paraId="08A8645B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2.使用范围：最大试验力：20kN；</w:t>
            </w:r>
          </w:p>
          <w:p w14:paraId="331A8C39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3.试样最大宽度：200mm；</w:t>
            </w:r>
          </w:p>
          <w:p w14:paraId="68F1A2EE"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4.钳口张开宽度：10mm。</w:t>
            </w:r>
          </w:p>
        </w:tc>
      </w:tr>
      <w:tr w14:paraId="2E2D4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0096DB8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全自动坚固性试验仪</w:t>
            </w:r>
          </w:p>
        </w:tc>
        <w:tc>
          <w:tcPr>
            <w:tcW w:w="1245" w:type="dxa"/>
            <w:vAlign w:val="center"/>
          </w:tcPr>
          <w:p w14:paraId="76B4EF9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一台</w:t>
            </w:r>
          </w:p>
        </w:tc>
        <w:tc>
          <w:tcPr>
            <w:tcW w:w="11734" w:type="dxa"/>
            <w:vAlign w:val="center"/>
          </w:tcPr>
          <w:p w14:paraId="24438685">
            <w:pPr>
              <w:pStyle w:val="19"/>
              <w:numPr>
                <w:ilvl w:val="1"/>
                <w:numId w:val="0"/>
              </w:numPr>
              <w:spacing w:line="360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要求总则：</w:t>
            </w:r>
          </w:p>
          <w:p w14:paraId="67705BE5">
            <w:pPr>
              <w:spacing w:line="276" w:lineRule="auto"/>
              <w:ind w:firstLine="420" w:firstLineChars="20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设备需满足《公路工程集料试验规程》JTG 3432-2024、《建设用砂》GB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T 14684-2022、《建设用卵石、碎石》GB∕T 14685-2022、《水运工程混凝土试验检测技术规范》JTS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T 236-2019、《普通混凝土用砂、石质量及检验方法标准》JGJ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52-2006中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集料坚固性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的测定试验要求。</w:t>
            </w:r>
          </w:p>
          <w:p w14:paraId="680DDCFB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二、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技术参数要求：</w:t>
            </w:r>
          </w:p>
          <w:p w14:paraId="0770DD54">
            <w:pPr>
              <w:pStyle w:val="19"/>
              <w:numPr>
                <w:ilvl w:val="1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1、盐溶液箱体容积：230L；</w:t>
            </w:r>
          </w:p>
          <w:p w14:paraId="02220523">
            <w:pPr>
              <w:pStyle w:val="19"/>
              <w:numPr>
                <w:ilvl w:val="1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2、盐溶液控温范围：15～30℃</w:t>
            </w:r>
          </w:p>
          <w:p w14:paraId="38AB83AA">
            <w:pPr>
              <w:pStyle w:val="19"/>
              <w:numPr>
                <w:ilvl w:val="1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3、烘干温度范围：常温～150℃</w:t>
            </w:r>
          </w:p>
          <w:p w14:paraId="310A4BAE">
            <w:pPr>
              <w:pStyle w:val="19"/>
              <w:numPr>
                <w:ilvl w:val="1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4、控温精度：±0.5℃</w:t>
            </w:r>
          </w:p>
          <w:p w14:paraId="5395443C">
            <w:pPr>
              <w:pStyle w:val="19"/>
              <w:numPr>
                <w:ilvl w:val="1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5、适用网篮：</w:t>
            </w:r>
          </w:p>
          <w:p w14:paraId="7D25EF94">
            <w:pPr>
              <w:pStyle w:val="19"/>
              <w:numPr>
                <w:ilvl w:val="1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5.1φ250×250，数量2；</w:t>
            </w:r>
          </w:p>
          <w:p w14:paraId="14F10BA5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5.2φ100×150，数量10；  </w:t>
            </w:r>
          </w:p>
          <w:p w14:paraId="3DA8DA60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5.3Φ70×70，数量16； </w:t>
            </w:r>
          </w:p>
          <w:p w14:paraId="79DE52C4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6、箱体外壳材质：铁板静电喷涂；</w:t>
            </w:r>
          </w:p>
          <w:p w14:paraId="1182D97F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7、箱体内胆材质：304不锈钢； </w:t>
            </w:r>
          </w:p>
          <w:p w14:paraId="42923495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8、盐溶液温控箱内配有搅拌装置；    </w:t>
            </w:r>
          </w:p>
          <w:p w14:paraId="49299F13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9、加热功率：3kW；</w:t>
            </w:r>
          </w:p>
          <w:p w14:paraId="20EA58E7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10、制冷功率：1kW；</w:t>
            </w:r>
          </w:p>
          <w:p w14:paraId="7E2C6E31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11、外形尺寸：约1650mm×1050mm×2000mm；</w:t>
            </w:r>
          </w:p>
          <w:p w14:paraId="3DED0B2F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12、电源：220V 50Hz。 </w:t>
            </w:r>
          </w:p>
          <w:p w14:paraId="79B1C920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13、配有加热装置及其制冷装置，无论是低温环境还是高温环境均可控制溶液温度，且配有搅拌装置，确保溶液温度均匀；</w:t>
            </w:r>
          </w:p>
          <w:p w14:paraId="08325AFB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14、带烘干装置，可以实现全试验过程自动控制；</w:t>
            </w:r>
          </w:p>
          <w:p w14:paraId="10E10056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15、配有自动升降装置，试验过程中实现自动升降；</w:t>
            </w:r>
          </w:p>
          <w:p w14:paraId="6DECC635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16、触摸屏控制，设置好浸泡温度、烘干温度及其升降次数即可自动运行；</w:t>
            </w:r>
          </w:p>
          <w:p w14:paraId="045E1619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17、实时记录温度并支持导出；</w:t>
            </w:r>
          </w:p>
          <w:p w14:paraId="27D3FB38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三、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设备主配置要求：</w:t>
            </w:r>
            <w:bookmarkStart w:id="0" w:name="_Toc25973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          </w:t>
            </w:r>
          </w:p>
          <w:p w14:paraId="1E2EE24E">
            <w:pPr>
              <w:numPr>
                <w:ilvl w:val="0"/>
                <w:numId w:val="0"/>
              </w:numPr>
              <w:tabs>
                <w:tab w:val="left" w:pos="1360"/>
              </w:tabs>
              <w:spacing w:line="276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随机工具、资料（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网篮、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合格证、使用说明、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U盘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等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配件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）一套</w:t>
            </w:r>
            <w:bookmarkEnd w:id="0"/>
          </w:p>
          <w:p w14:paraId="58BB9CD5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产品厂家须取得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ISO9001:2015质量管理体系认证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ISO14001:2015环境管理体系认证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ISO45001:2018职业健康安全管理体系认证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（以上提供厂家盖鲜章扫描件，原件备查）。</w:t>
            </w:r>
          </w:p>
        </w:tc>
      </w:tr>
    </w:tbl>
    <w:p w14:paraId="5D9D4EC1">
      <w:pPr>
        <w:rPr>
          <w:rFonts w:hint="eastAsia" w:ascii="宋体" w:hAnsi="宋体" w:eastAsia="宋体" w:cs="宋体"/>
          <w:color w:val="EE0000"/>
          <w:sz w:val="21"/>
          <w:szCs w:val="21"/>
        </w:rPr>
      </w:pPr>
    </w:p>
    <w:sectPr>
      <w:pgSz w:w="16838" w:h="11906" w:orient="landscape"/>
      <w:pgMar w:top="1134" w:right="850" w:bottom="850" w:left="850" w:header="851" w:footer="992" w:gutter="0"/>
      <w:cols w:space="0" w:num="1"/>
      <w:rtlGutter w:val="0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2244BE"/>
    <w:multiLevelType w:val="multilevel"/>
    <w:tmpl w:val="162244BE"/>
    <w:lvl w:ilvl="0" w:tentative="0">
      <w:start w:val="2"/>
      <w:numFmt w:val="none"/>
      <w:lvlText w:val="1"/>
      <w:lvlJc w:val="left"/>
      <w:pPr>
        <w:ind w:left="57" w:hanging="57"/>
      </w:pPr>
      <w:rPr>
        <w:rFonts w:hint="eastAsia"/>
      </w:rPr>
    </w:lvl>
    <w:lvl w:ilvl="1" w:tentative="0">
      <w:start w:val="1"/>
      <w:numFmt w:val="decimal"/>
      <w:pStyle w:val="19"/>
      <w:lvlText w:val="%11.%2"/>
      <w:lvlJc w:val="left"/>
      <w:pPr>
        <w:ind w:left="113" w:firstLine="312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BD1C18"/>
    <w:rsid w:val="000B6C2E"/>
    <w:rsid w:val="00111F61"/>
    <w:rsid w:val="00197717"/>
    <w:rsid w:val="002963BB"/>
    <w:rsid w:val="00422BE9"/>
    <w:rsid w:val="004B1414"/>
    <w:rsid w:val="004F41FE"/>
    <w:rsid w:val="00540EB8"/>
    <w:rsid w:val="00592399"/>
    <w:rsid w:val="005B3232"/>
    <w:rsid w:val="005D0D56"/>
    <w:rsid w:val="005E303D"/>
    <w:rsid w:val="006D5483"/>
    <w:rsid w:val="007212E1"/>
    <w:rsid w:val="0074710A"/>
    <w:rsid w:val="008B63B1"/>
    <w:rsid w:val="00966A64"/>
    <w:rsid w:val="009A1AE8"/>
    <w:rsid w:val="009D06B5"/>
    <w:rsid w:val="00A1695C"/>
    <w:rsid w:val="00A63F1E"/>
    <w:rsid w:val="00A84C91"/>
    <w:rsid w:val="00AA7CF6"/>
    <w:rsid w:val="00BD1C18"/>
    <w:rsid w:val="00C0765E"/>
    <w:rsid w:val="00C13D34"/>
    <w:rsid w:val="00CF2D7D"/>
    <w:rsid w:val="00D360A7"/>
    <w:rsid w:val="00D4308D"/>
    <w:rsid w:val="00D91077"/>
    <w:rsid w:val="00DA2FDE"/>
    <w:rsid w:val="00DB3A3B"/>
    <w:rsid w:val="00DF047B"/>
    <w:rsid w:val="00DF4F9E"/>
    <w:rsid w:val="00E2421D"/>
    <w:rsid w:val="00EF7EC3"/>
    <w:rsid w:val="06BF6017"/>
    <w:rsid w:val="0BCC4855"/>
    <w:rsid w:val="14F52C04"/>
    <w:rsid w:val="20AC207D"/>
    <w:rsid w:val="21097838"/>
    <w:rsid w:val="219E4C9A"/>
    <w:rsid w:val="24D80578"/>
    <w:rsid w:val="2B0B2107"/>
    <w:rsid w:val="334E2BCF"/>
    <w:rsid w:val="35610116"/>
    <w:rsid w:val="439D4A0F"/>
    <w:rsid w:val="5C20021B"/>
    <w:rsid w:val="6038228F"/>
    <w:rsid w:val="674304A3"/>
    <w:rsid w:val="6B173DA0"/>
    <w:rsid w:val="6C415DCB"/>
    <w:rsid w:val="71A72E09"/>
    <w:rsid w:val="762E054F"/>
    <w:rsid w:val="792E51E6"/>
    <w:rsid w:val="7C55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8"/>
      <w:szCs w:val="20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Plain Text"/>
    <w:basedOn w:val="1"/>
    <w:link w:val="18"/>
    <w:qFormat/>
    <w:uiPriority w:val="0"/>
    <w:pPr>
      <w:adjustRightInd w:val="0"/>
      <w:snapToGrid w:val="0"/>
      <w:spacing w:line="400" w:lineRule="exact"/>
      <w:ind w:firstLine="420" w:firstLineChars="200"/>
    </w:pPr>
    <w:rPr>
      <w:rFonts w:ascii="宋体" w:hAnsi="Courier New" w:eastAsiaTheme="minorEastAsia" w:cstheme="minorBidi"/>
      <w:sz w:val="21"/>
      <w:szCs w:val="24"/>
      <w14:ligatures w14:val="standardContextual"/>
    </w:rPr>
  </w:style>
  <w:style w:type="paragraph" w:styleId="12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5">
    <w:name w:val="Table Grid"/>
    <w:basedOn w:val="1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xl24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Arial Unicode MS" w:hAnsi="Arial Unicode MS" w:eastAsia="Arial Unicode MS" w:cs="Arial Unicode MS"/>
      <w:sz w:val="24"/>
    </w:rPr>
  </w:style>
  <w:style w:type="character" w:customStyle="1" w:styleId="18">
    <w:name w:val="纯文本 字符"/>
    <w:link w:val="11"/>
    <w:qFormat/>
    <w:uiPriority w:val="0"/>
    <w:rPr>
      <w:rFonts w:ascii="宋体" w:hAnsi="Courier New"/>
      <w:sz w:val="21"/>
    </w:rPr>
  </w:style>
  <w:style w:type="paragraph" w:styleId="19">
    <w:name w:val="List Paragraph"/>
    <w:basedOn w:val="1"/>
    <w:qFormat/>
    <w:uiPriority w:val="99"/>
    <w:pPr>
      <w:numPr>
        <w:ilvl w:val="1"/>
        <w:numId w:val="1"/>
      </w:numPr>
    </w:pPr>
    <w:rPr>
      <w:szCs w:val="22"/>
    </w:rPr>
  </w:style>
  <w:style w:type="paragraph" w:customStyle="1" w:styleId="20">
    <w:name w:val="WPSOffice手动目录 1"/>
    <w:qFormat/>
    <w:uiPriority w:val="0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  <w14:ligatures w14:val="none"/>
    </w:rPr>
  </w:style>
  <w:style w:type="character" w:customStyle="1" w:styleId="21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none"/>
    </w:rPr>
  </w:style>
  <w:style w:type="character" w:customStyle="1" w:styleId="22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none"/>
    </w:rPr>
  </w:style>
  <w:style w:type="character" w:customStyle="1" w:styleId="23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none"/>
    </w:rPr>
  </w:style>
  <w:style w:type="character" w:customStyle="1" w:styleId="24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  <w14:ligatures w14:val="none"/>
    </w:rPr>
  </w:style>
  <w:style w:type="character" w:customStyle="1" w:styleId="25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14:ligatures w14:val="none"/>
    </w:rPr>
  </w:style>
  <w:style w:type="character" w:customStyle="1" w:styleId="26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  <w:sz w:val="28"/>
      <w:szCs w:val="20"/>
      <w14:ligatures w14:val="none"/>
    </w:rPr>
  </w:style>
  <w:style w:type="character" w:customStyle="1" w:styleId="27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:sz w:val="28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8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:sz w:val="28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9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:sz w:val="28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0">
    <w:name w:val="标题 字符"/>
    <w:basedOn w:val="16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character" w:customStyle="1" w:styleId="31">
    <w:name w:val="副标题 字符"/>
    <w:basedOn w:val="16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6"/>
    <w:link w:val="32"/>
    <w:qFormat/>
    <w:uiPriority w:val="29"/>
    <w:rPr>
      <w:rFonts w:ascii="Times New Roman" w:hAnsi="Times New Roman" w:eastAsia="宋体" w:cs="Times New Roman"/>
      <w:i/>
      <w:iCs/>
      <w:color w:val="404040" w:themeColor="text1" w:themeTint="BF"/>
      <w:sz w:val="28"/>
      <w:szCs w:val="20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character" w:customStyle="1" w:styleId="34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6"/>
    <w:link w:val="35"/>
    <w:qFormat/>
    <w:uiPriority w:val="30"/>
    <w:rPr>
      <w:rFonts w:ascii="Times New Roman" w:hAnsi="Times New Roman" w:eastAsia="宋体" w:cs="Times New Roman"/>
      <w:i/>
      <w:iCs/>
      <w:color w:val="104862" w:themeColor="accent1" w:themeShade="BF"/>
      <w:sz w:val="28"/>
      <w:szCs w:val="20"/>
      <w14:ligatures w14:val="none"/>
    </w:rPr>
  </w:style>
  <w:style w:type="character" w:customStyle="1" w:styleId="37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8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1786</Words>
  <Characters>2176</Characters>
  <Lines>7</Lines>
  <Paragraphs>2</Paragraphs>
  <TotalTime>0</TotalTime>
  <ScaleCrop>false</ScaleCrop>
  <LinksUpToDate>false</LinksUpToDate>
  <CharactersWithSpaces>2241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2026-04-29T03:15:00Z</dcterms:created>
  <dc:creator>军 寇</dc:creator>
  <cp:lastModifiedBy>泓金李</cp:lastModifiedBy>
  <dcterms:modified xsi:type="dcterms:W3CDTF">2026-06-12T02:52:02Z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9F7CD569EF40475BAF0722990C1AB5F5_13</vt:lpwstr>
  </property>
  <property fmtid="{D5CDD505-2E9C-101B-9397-08002B2CF9AE}" pid="4" name="KSOTemplateDocerSaveRecord">
    <vt:lpwstr>eyJoZGlkIjoiMTQzYzQ3M2NjYjJlNjMxYWY4NmEwNTZmNmQ1YzE0ODQiLCJ1c2VySWQiOiIzMzExMDcxNzMifQ==</vt:lpwstr>
  </property>
</Properties>
</file>