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E573A">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r>
        <w:rPr>
          <w:rFonts w:hint="eastAsia" w:ascii="黑体" w:hAnsi="黑体" w:eastAsia="黑体" w:cs="黑体"/>
          <w:color w:val="auto"/>
          <w:sz w:val="28"/>
          <w:szCs w:val="36"/>
          <w:lang w:val="en-US" w:eastAsia="zh-CN"/>
        </w:rPr>
        <w:t>合同编号：</w:t>
      </w:r>
    </w:p>
    <w:p w14:paraId="1C5ADB5D">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7AADDB0B">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32C3C5C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5D983AB5">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仿宋" w:hAnsi="仿宋" w:eastAsia="仿宋" w:cs="仿宋"/>
          <w:b/>
          <w:bCs/>
          <w:sz w:val="52"/>
          <w:szCs w:val="52"/>
          <w:lang w:val="en-US" w:eastAsia="zh-CN"/>
        </w:rPr>
      </w:pPr>
    </w:p>
    <w:p w14:paraId="2B97398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sz w:val="28"/>
          <w:szCs w:val="36"/>
          <w:lang w:val="en-US" w:eastAsia="zh-CN"/>
        </w:rPr>
      </w:pPr>
      <w:r>
        <w:rPr>
          <w:rFonts w:hint="eastAsia" w:ascii="仿宋" w:hAnsi="仿宋" w:eastAsia="仿宋" w:cs="仿宋"/>
          <w:b/>
          <w:bCs/>
          <w:sz w:val="52"/>
          <w:szCs w:val="52"/>
          <w:lang w:val="en-US" w:eastAsia="zh-CN"/>
        </w:rPr>
        <w:t>2026年度工会会员生日慰问品服务采购合同（第三次）</w:t>
      </w:r>
    </w:p>
    <w:p w14:paraId="08CBD54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3A8420D4">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7485DD84">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4C92686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13C06FA3">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0929B1D1">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422E13BC">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tbl>
      <w:tblPr>
        <w:tblStyle w:val="9"/>
        <w:tblW w:w="857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333"/>
      </w:tblGrid>
      <w:tr w14:paraId="190452FF">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vAlign w:val="center"/>
          </w:tcPr>
          <w:p w14:paraId="2FF78198">
            <w:pPr>
              <w:keepNext w:val="0"/>
              <w:keepLines w:val="0"/>
              <w:pageBreakBefore w:val="0"/>
              <w:widowControl w:val="0"/>
              <w:kinsoku/>
              <w:wordWrap/>
              <w:overflowPunct/>
              <w:topLinePunct w:val="0"/>
              <w:autoSpaceDE/>
              <w:autoSpaceDN/>
              <w:bidi w:val="0"/>
              <w:adjustRightInd w:val="0"/>
              <w:snapToGrid w:val="0"/>
              <w:spacing w:line="240" w:lineRule="auto"/>
              <w:ind w:left="934" w:hanging="992" w:hangingChars="310"/>
              <w:jc w:val="center"/>
              <w:textAlignment w:val="auto"/>
              <w:outlineLvl w:val="9"/>
              <w:rPr>
                <w:rFonts w:hint="eastAsia" w:ascii="楷体" w:hAnsi="楷体" w:eastAsia="楷体" w:cs="楷体"/>
                <w:b w:val="0"/>
                <w:bCs/>
                <w:sz w:val="32"/>
                <w:szCs w:val="32"/>
                <w:u w:val="single"/>
              </w:rPr>
            </w:pPr>
            <w:r>
              <w:rPr>
                <w:rFonts w:hint="eastAsia" w:ascii="楷体" w:hAnsi="楷体" w:eastAsia="楷体" w:cs="楷体"/>
                <w:b w:val="0"/>
                <w:bCs/>
                <w:sz w:val="32"/>
                <w:szCs w:val="32"/>
              </w:rPr>
              <w:t>买方（甲方）：</w:t>
            </w:r>
          </w:p>
        </w:tc>
        <w:tc>
          <w:tcPr>
            <w:tcW w:w="6333" w:type="dxa"/>
            <w:tcBorders>
              <w:left w:val="nil"/>
              <w:bottom w:val="single" w:color="auto" w:sz="4" w:space="0"/>
              <w:right w:val="nil"/>
            </w:tcBorders>
            <w:vAlign w:val="center"/>
          </w:tcPr>
          <w:p w14:paraId="4425D2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楷体" w:hAnsi="楷体" w:eastAsia="楷体" w:cs="楷体"/>
                <w:b w:val="0"/>
                <w:bCs/>
                <w:sz w:val="32"/>
                <w:szCs w:val="32"/>
                <w:lang w:val="en-US" w:eastAsia="zh-CN"/>
              </w:rPr>
            </w:pPr>
          </w:p>
        </w:tc>
      </w:tr>
      <w:tr w14:paraId="6B280042">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vAlign w:val="center"/>
          </w:tcPr>
          <w:p w14:paraId="5FA16D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卖方（乙方）：</w:t>
            </w:r>
          </w:p>
        </w:tc>
        <w:tc>
          <w:tcPr>
            <w:tcW w:w="6333" w:type="dxa"/>
            <w:tcBorders>
              <w:top w:val="single" w:color="auto" w:sz="4" w:space="0"/>
              <w:left w:val="nil"/>
              <w:bottom w:val="single" w:color="auto" w:sz="4" w:space="0"/>
              <w:right w:val="nil"/>
            </w:tcBorders>
            <w:vAlign w:val="center"/>
          </w:tcPr>
          <w:p w14:paraId="602B0C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楷体" w:hAnsi="楷体" w:eastAsia="楷体" w:cs="楷体"/>
                <w:b w:val="0"/>
                <w:bCs/>
                <w:sz w:val="32"/>
                <w:szCs w:val="32"/>
                <w:lang w:eastAsia="zh-CN"/>
              </w:rPr>
            </w:pPr>
          </w:p>
        </w:tc>
      </w:tr>
    </w:tbl>
    <w:p w14:paraId="7CF8E76F">
      <w:pPr>
        <w:spacing w:line="240" w:lineRule="auto"/>
        <w:jc w:val="center"/>
        <w:outlineLvl w:val="9"/>
        <w:rPr>
          <w:rFonts w:hint="eastAsia" w:ascii="仿宋_GB2312" w:hAnsi="仿宋_GB2312" w:eastAsia="仿宋_GB2312" w:cs="仿宋_GB2312"/>
          <w:b/>
          <w:sz w:val="30"/>
          <w:szCs w:val="30"/>
        </w:rPr>
      </w:pPr>
    </w:p>
    <w:p w14:paraId="1CD521C7">
      <w:pPr>
        <w:spacing w:line="480" w:lineRule="auto"/>
        <w:jc w:val="center"/>
        <w:outlineLvl w:val="9"/>
        <w:rPr>
          <w:rFonts w:hint="eastAsia" w:ascii="楷体" w:hAnsi="楷体" w:eastAsia="楷体" w:cs="楷体"/>
          <w:b w:val="0"/>
          <w:bCs/>
          <w:sz w:val="32"/>
          <w:szCs w:val="32"/>
          <w:u w:val="single"/>
          <w:lang w:val="en-US" w:eastAsia="zh-CN"/>
        </w:rPr>
      </w:pPr>
      <w:r>
        <w:rPr>
          <w:rFonts w:hint="eastAsia" w:ascii="楷体" w:hAnsi="楷体" w:eastAsia="楷体" w:cs="楷体"/>
          <w:b w:val="0"/>
          <w:bCs/>
          <w:sz w:val="32"/>
          <w:szCs w:val="32"/>
        </w:rPr>
        <w:t>签订地点：</w:t>
      </w:r>
      <w:r>
        <w:rPr>
          <w:rFonts w:hint="eastAsia" w:ascii="楷体" w:hAnsi="楷体" w:eastAsia="楷体" w:cs="楷体"/>
          <w:b w:val="0"/>
          <w:bCs/>
          <w:sz w:val="32"/>
          <w:szCs w:val="32"/>
          <w:u w:val="single"/>
          <w:lang w:val="en-US" w:eastAsia="zh-CN"/>
        </w:rPr>
        <w:t>成都</w:t>
      </w:r>
    </w:p>
    <w:p w14:paraId="6B43C544">
      <w:pPr>
        <w:spacing w:line="480" w:lineRule="auto"/>
        <w:jc w:val="center"/>
        <w:outlineLvl w:val="9"/>
        <w:rPr>
          <w:rFonts w:hint="eastAsia" w:ascii="楷体" w:hAnsi="楷体" w:eastAsia="楷体" w:cs="楷体"/>
          <w:b w:val="0"/>
          <w:bCs/>
          <w:sz w:val="32"/>
          <w:szCs w:val="32"/>
          <w:u w:val="single"/>
        </w:rPr>
      </w:pPr>
      <w:r>
        <w:rPr>
          <w:rFonts w:hint="eastAsia" w:ascii="楷体" w:hAnsi="楷体" w:eastAsia="楷体" w:cs="楷体"/>
          <w:b w:val="0"/>
          <w:bCs/>
          <w:sz w:val="32"/>
          <w:szCs w:val="32"/>
        </w:rPr>
        <w:t>签订时间：</w:t>
      </w:r>
      <w:r>
        <w:rPr>
          <w:rFonts w:hint="eastAsia" w:ascii="楷体" w:hAnsi="楷体" w:eastAsia="楷体" w:cs="楷体"/>
          <w:b w:val="0"/>
          <w:bCs/>
          <w:sz w:val="32"/>
          <w:szCs w:val="32"/>
          <w:u w:val="single"/>
        </w:rPr>
        <w:t>年</w:t>
      </w:r>
      <w:r>
        <w:rPr>
          <w:rFonts w:hint="eastAsia" w:ascii="楷体" w:hAnsi="楷体" w:eastAsia="楷体" w:cs="楷体"/>
          <w:b w:val="0"/>
          <w:bCs/>
          <w:sz w:val="32"/>
          <w:szCs w:val="32"/>
          <w:u w:val="single"/>
          <w:lang w:val="en-US" w:eastAsia="zh-CN"/>
        </w:rPr>
        <w:t xml:space="preserve"> </w:t>
      </w:r>
      <w:r>
        <w:rPr>
          <w:rFonts w:hint="eastAsia" w:ascii="楷体" w:hAnsi="楷体" w:eastAsia="楷体" w:cs="楷体"/>
          <w:b w:val="0"/>
          <w:bCs/>
          <w:sz w:val="32"/>
          <w:szCs w:val="32"/>
          <w:u w:val="single"/>
        </w:rPr>
        <w:t>月</w:t>
      </w:r>
    </w:p>
    <w:p w14:paraId="4222D3D5">
      <w:pPr>
        <w:numPr>
          <w:ilvl w:val="0"/>
          <w:numId w:val="0"/>
        </w:numPr>
        <w:ind w:leftChars="0"/>
        <w:outlineLvl w:val="9"/>
        <w:rPr>
          <w:rFonts w:hint="eastAsia"/>
        </w:rPr>
      </w:pPr>
    </w:p>
    <w:p w14:paraId="1CB97A61">
      <w:pPr>
        <w:keepNext w:val="0"/>
        <w:keepLines w:val="0"/>
        <w:pageBreakBefore w:val="0"/>
        <w:widowControl w:val="0"/>
        <w:tabs>
          <w:tab w:val="left" w:pos="2666"/>
        </w:tabs>
        <w:kinsoku/>
        <w:wordWrap/>
        <w:overflowPunct/>
        <w:topLinePunct w:val="0"/>
        <w:autoSpaceDE/>
        <w:autoSpaceDN/>
        <w:bidi w:val="0"/>
        <w:adjustRightInd w:val="0"/>
        <w:snapToGrid w:val="0"/>
        <w:spacing w:line="300" w:lineRule="auto"/>
        <w:jc w:val="left"/>
        <w:textAlignment w:val="auto"/>
        <w:outlineLvl w:val="9"/>
        <w:rPr>
          <w:rFonts w:hint="default" w:ascii="楷体" w:hAnsi="楷体" w:eastAsia="楷体" w:cs="楷体"/>
          <w:b w:val="0"/>
          <w:bCs w:val="0"/>
          <w:sz w:val="32"/>
          <w:szCs w:val="32"/>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05AC87">
      <w:pPr>
        <w:keepNext w:val="0"/>
        <w:keepLines w:val="0"/>
        <w:pageBreakBefore w:val="0"/>
        <w:widowControl w:val="0"/>
        <w:tabs>
          <w:tab w:val="left" w:pos="2666"/>
        </w:tabs>
        <w:kinsoku/>
        <w:wordWrap/>
        <w:overflowPunct/>
        <w:topLinePunct w:val="0"/>
        <w:autoSpaceDE/>
        <w:autoSpaceDN/>
        <w:bidi w:val="0"/>
        <w:adjustRightInd w:val="0"/>
        <w:snapToGrid w:val="0"/>
        <w:spacing w:before="480" w:after="480" w:line="3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采购合同</w:t>
      </w:r>
    </w:p>
    <w:p w14:paraId="55D7E533">
      <w:pPr>
        <w:keepNext w:val="0"/>
        <w:keepLines w:val="0"/>
        <w:pageBreakBefore w:val="0"/>
        <w:widowControl w:val="0"/>
        <w:tabs>
          <w:tab w:val="left" w:pos="266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甲方：</w:t>
      </w:r>
    </w:p>
    <w:p w14:paraId="71B962B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kern w:val="2"/>
          <w:sz w:val="24"/>
          <w:szCs w:val="24"/>
          <w:lang w:val="en-US" w:eastAsia="zh-CN" w:bidi="ar-SA"/>
        </w:rPr>
        <w:t>乙方：</w:t>
      </w:r>
    </w:p>
    <w:p w14:paraId="46B696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w:t>
      </w:r>
      <w:r>
        <w:rPr>
          <w:rFonts w:hint="eastAsia" w:ascii="宋体" w:hAnsi="宋体" w:eastAsia="宋体" w:cs="宋体"/>
          <w:kern w:val="2"/>
          <w:sz w:val="24"/>
          <w:szCs w:val="24"/>
          <w:lang w:eastAsia="zh-CN" w:bidi="ar-SA"/>
        </w:rPr>
        <w:t>民法典</w:t>
      </w:r>
      <w:r>
        <w:rPr>
          <w:rFonts w:hint="eastAsia" w:ascii="宋体" w:hAnsi="宋体" w:eastAsia="宋体" w:cs="宋体"/>
          <w:kern w:val="2"/>
          <w:sz w:val="24"/>
          <w:szCs w:val="24"/>
          <w:lang w:val="en-US" w:eastAsia="zh-CN" w:bidi="ar-SA"/>
        </w:rPr>
        <w:t>》以及其他相关法律法规规定，遵循平等、自愿、公平和诚实信用的原则，甲乙双方就</w:t>
      </w:r>
      <w:r>
        <w:rPr>
          <w:rFonts w:hint="eastAsia" w:ascii="宋体" w:hAnsi="宋体" w:eastAsia="宋体" w:cs="宋体"/>
          <w:kern w:val="2"/>
          <w:sz w:val="24"/>
          <w:szCs w:val="24"/>
          <w:lang w:eastAsia="zh-CN" w:bidi="ar-SA"/>
        </w:rPr>
        <w:t>工会会员生日慰问品</w:t>
      </w:r>
      <w:r>
        <w:rPr>
          <w:rFonts w:hint="eastAsia" w:cs="宋体"/>
          <w:kern w:val="2"/>
          <w:sz w:val="24"/>
          <w:szCs w:val="24"/>
          <w:lang w:val="en-US" w:eastAsia="zh-CN" w:bidi="ar-SA"/>
        </w:rPr>
        <w:t>蛋糕券服务</w:t>
      </w:r>
      <w:r>
        <w:rPr>
          <w:rFonts w:hint="eastAsia" w:ascii="宋体" w:hAnsi="宋体" w:eastAsia="宋体" w:cs="宋体"/>
          <w:kern w:val="2"/>
          <w:sz w:val="24"/>
          <w:szCs w:val="24"/>
          <w:lang w:val="en-US" w:eastAsia="zh-CN" w:bidi="ar-SA"/>
        </w:rPr>
        <w:t>事宜协商一致，签订本合同。</w:t>
      </w:r>
    </w:p>
    <w:p w14:paraId="15CF4B9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采购内容</w:t>
      </w:r>
    </w:p>
    <w:p w14:paraId="3FB7AF30">
      <w:pPr>
        <w:pStyle w:val="12"/>
        <w:spacing w:line="360" w:lineRule="exact"/>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2026年度工会会员生日慰问品</w:t>
      </w:r>
      <w:bookmarkStart w:id="10" w:name="_GoBack"/>
      <w:bookmarkEnd w:id="10"/>
      <w:r>
        <w:rPr>
          <w:rFonts w:hint="eastAsia" w:cs="宋体"/>
          <w:b/>
          <w:bCs/>
          <w:kern w:val="2"/>
          <w:sz w:val="24"/>
          <w:szCs w:val="24"/>
          <w:lang w:val="en-US" w:eastAsia="zh-CN" w:bidi="ar-SA"/>
        </w:rPr>
        <w:t>服务</w:t>
      </w:r>
      <w:r>
        <w:rPr>
          <w:rFonts w:hint="eastAsia" w:ascii="宋体" w:hAnsi="宋体" w:eastAsia="宋体" w:cs="宋体"/>
          <w:b/>
          <w:bCs/>
          <w:kern w:val="2"/>
          <w:sz w:val="24"/>
          <w:szCs w:val="24"/>
          <w:lang w:val="en-US" w:eastAsia="zh-CN" w:bidi="ar-SA"/>
        </w:rPr>
        <w:t>清单</w:t>
      </w:r>
    </w:p>
    <w:tbl>
      <w:tblPr>
        <w:tblStyle w:val="9"/>
        <w:tblW w:w="8976"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058"/>
        <w:gridCol w:w="1058"/>
        <w:gridCol w:w="1058"/>
        <w:gridCol w:w="1058"/>
        <w:gridCol w:w="1058"/>
        <w:gridCol w:w="1058"/>
      </w:tblGrid>
      <w:tr w14:paraId="10836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5" w:hRule="atLeast"/>
          <w:tblHeader/>
        </w:trPr>
        <w:tc>
          <w:tcPr>
            <w:tcW w:w="2628" w:type="dxa"/>
            <w:tcBorders>
              <w:tl2br w:val="nil"/>
              <w:tr2bl w:val="nil"/>
            </w:tcBorders>
            <w:shd w:val="clear" w:color="auto" w:fill="auto"/>
            <w:vAlign w:val="center"/>
          </w:tcPr>
          <w:p w14:paraId="69D2A5CF">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项目名称</w:t>
            </w:r>
          </w:p>
        </w:tc>
        <w:tc>
          <w:tcPr>
            <w:tcW w:w="1058" w:type="dxa"/>
            <w:tcBorders>
              <w:tl2br w:val="nil"/>
              <w:tr2bl w:val="nil"/>
            </w:tcBorders>
            <w:shd w:val="clear" w:color="auto" w:fill="auto"/>
            <w:vAlign w:val="center"/>
          </w:tcPr>
          <w:p w14:paraId="6E6B67E9">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采购</w:t>
            </w:r>
          </w:p>
          <w:p w14:paraId="47490417">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内容</w:t>
            </w:r>
          </w:p>
        </w:tc>
        <w:tc>
          <w:tcPr>
            <w:tcW w:w="1058" w:type="dxa"/>
            <w:tcBorders>
              <w:tl2br w:val="nil"/>
              <w:tr2bl w:val="nil"/>
            </w:tcBorders>
            <w:shd w:val="clear" w:color="auto" w:fill="auto"/>
            <w:vAlign w:val="center"/>
          </w:tcPr>
          <w:p w14:paraId="718F9931">
            <w:pPr>
              <w:widowControl/>
              <w:snapToGrid w:val="0"/>
              <w:spacing w:line="240" w:lineRule="auto"/>
              <w:ind w:left="0" w:leftChars="0" w:right="0" w:rightChars="0" w:firstLine="0" w:firstLineChars="0"/>
              <w:jc w:val="center"/>
              <w:textAlignment w:val="center"/>
              <w:rPr>
                <w:rFonts w:hint="eastAsia" w:ascii="宋体" w:hAnsi="宋体" w:eastAsia="宋体" w:cs="宋体"/>
                <w:b/>
                <w:bCs/>
                <w:snapToGrid/>
                <w:color w:val="000000" w:themeColor="text1"/>
                <w:sz w:val="24"/>
                <w:szCs w:val="24"/>
                <w:u w:val="none"/>
                <w:vertAlign w:val="baseline"/>
                <w:lang w:val="en-US" w:eastAsia="zh-CN" w:bidi="ar"/>
                <w14:textFill>
                  <w14:solidFill>
                    <w14:schemeClr w14:val="tx1"/>
                  </w14:solidFill>
                </w14:textFill>
              </w:rPr>
            </w:pPr>
            <w:r>
              <w:rPr>
                <w:rFonts w:hint="eastAsia" w:ascii="宋体" w:hAnsi="宋体" w:eastAsia="宋体" w:cs="宋体"/>
                <w:b/>
                <w:bCs/>
                <w:snapToGrid/>
                <w:color w:val="000000" w:themeColor="text1"/>
                <w:sz w:val="24"/>
                <w:szCs w:val="24"/>
                <w:u w:val="none"/>
                <w:vertAlign w:val="baseline"/>
                <w:lang w:val="en-US" w:eastAsia="zh-CN" w:bidi="ar"/>
                <w14:textFill>
                  <w14:solidFill>
                    <w14:schemeClr w14:val="tx1"/>
                  </w14:solidFill>
                </w14:textFill>
              </w:rPr>
              <w:t>预估</w:t>
            </w:r>
          </w:p>
          <w:p w14:paraId="3538BA65">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snapToGrid/>
                <w:color w:val="000000" w:themeColor="text1"/>
                <w:sz w:val="24"/>
                <w:szCs w:val="24"/>
                <w:u w:val="none"/>
                <w:vertAlign w:val="baseline"/>
                <w:lang w:val="en-US" w:eastAsia="zh-CN" w:bidi="ar"/>
                <w14:textFill>
                  <w14:solidFill>
                    <w14:schemeClr w14:val="tx1"/>
                  </w14:solidFill>
                </w14:textFill>
              </w:rPr>
              <w:t>数量</w:t>
            </w:r>
          </w:p>
        </w:tc>
        <w:tc>
          <w:tcPr>
            <w:tcW w:w="1058" w:type="dxa"/>
            <w:tcBorders>
              <w:tl2br w:val="nil"/>
              <w:tr2bl w:val="nil"/>
            </w:tcBorders>
            <w:shd w:val="clear" w:color="auto" w:fill="auto"/>
            <w:vAlign w:val="center"/>
          </w:tcPr>
          <w:p w14:paraId="1D23ED32">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bidi="ar"/>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单价</w:t>
            </w:r>
          </w:p>
        </w:tc>
        <w:tc>
          <w:tcPr>
            <w:tcW w:w="1058" w:type="dxa"/>
            <w:tcBorders>
              <w:tl2br w:val="nil"/>
              <w:tr2bl w:val="nil"/>
            </w:tcBorders>
            <w:shd w:val="clear" w:color="auto" w:fill="auto"/>
            <w:vAlign w:val="center"/>
          </w:tcPr>
          <w:p w14:paraId="5D8390E2">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cs="宋体"/>
                <w:b/>
                <w:bCs/>
                <w:color w:val="000000" w:themeColor="text1"/>
                <w:sz w:val="24"/>
                <w:szCs w:val="24"/>
                <w:lang w:val="en-US" w:eastAsia="zh-CN" w:bidi="ar"/>
                <w14:textFill>
                  <w14:solidFill>
                    <w14:schemeClr w14:val="tx1"/>
                  </w14:solidFill>
                </w14:textFill>
              </w:rPr>
              <w:t>配增率</w:t>
            </w:r>
          </w:p>
        </w:tc>
        <w:tc>
          <w:tcPr>
            <w:tcW w:w="1058" w:type="dxa"/>
            <w:tcBorders>
              <w:tl2br w:val="nil"/>
              <w:tr2bl w:val="nil"/>
            </w:tcBorders>
            <w:shd w:val="clear" w:color="auto" w:fill="auto"/>
            <w:vAlign w:val="center"/>
          </w:tcPr>
          <w:p w14:paraId="4D5B8B6A">
            <w:pPr>
              <w:widowControl/>
              <w:snapToGrid w:val="0"/>
              <w:spacing w:line="240" w:lineRule="auto"/>
              <w:ind w:left="0" w:leftChars="0" w:right="0" w:rightChars="0" w:firstLine="0" w:firstLineChars="0"/>
              <w:jc w:val="center"/>
              <w:textAlignment w:val="center"/>
              <w:rPr>
                <w:rFonts w:hint="default" w:ascii="宋体" w:hAnsi="宋体" w:eastAsia="宋体" w:cs="宋体"/>
                <w:b/>
                <w:bCs/>
                <w:color w:val="000000" w:themeColor="text1"/>
                <w:sz w:val="24"/>
                <w:szCs w:val="24"/>
                <w:lang w:val="en-US" w:eastAsia="zh-CN" w:bidi="ar"/>
                <w14:textFill>
                  <w14:solidFill>
                    <w14:schemeClr w14:val="tx1"/>
                  </w14:solidFill>
                </w14:textFill>
              </w:rPr>
            </w:pPr>
            <w:r>
              <w:rPr>
                <w:rFonts w:hint="eastAsia" w:cs="宋体"/>
                <w:b/>
                <w:bCs/>
                <w:color w:val="000000" w:themeColor="text1"/>
                <w:sz w:val="24"/>
                <w:szCs w:val="24"/>
                <w:lang w:val="en-US" w:eastAsia="zh-CN" w:bidi="ar"/>
                <w14:textFill>
                  <w14:solidFill>
                    <w14:schemeClr w14:val="tx1"/>
                  </w14:solidFill>
                </w14:textFill>
              </w:rPr>
              <w:t>实际产品价值</w:t>
            </w:r>
          </w:p>
        </w:tc>
        <w:tc>
          <w:tcPr>
            <w:tcW w:w="1058" w:type="dxa"/>
            <w:tcBorders>
              <w:tl2br w:val="nil"/>
              <w:tr2bl w:val="nil"/>
            </w:tcBorders>
            <w:shd w:val="clear" w:color="auto" w:fill="auto"/>
            <w:vAlign w:val="center"/>
          </w:tcPr>
          <w:p w14:paraId="603E3867">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预估合计金额</w:t>
            </w:r>
          </w:p>
          <w:p w14:paraId="6CAFEB83">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（元）</w:t>
            </w:r>
          </w:p>
        </w:tc>
      </w:tr>
      <w:tr w14:paraId="16E9A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628" w:type="dxa"/>
            <w:tcBorders>
              <w:tl2br w:val="nil"/>
              <w:tr2bl w:val="nil"/>
            </w:tcBorders>
            <w:shd w:val="clear" w:color="auto" w:fill="auto"/>
            <w:vAlign w:val="center"/>
          </w:tcPr>
          <w:p w14:paraId="7ACDDA2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2026年度工会会员生日慰问品服务</w:t>
            </w:r>
            <w:r>
              <w:rPr>
                <w:rFonts w:hint="eastAsia" w:cs="宋体"/>
                <w:color w:val="000000" w:themeColor="text1"/>
                <w:sz w:val="24"/>
                <w:szCs w:val="24"/>
                <w:highlight w:val="none"/>
                <w:u w:val="none"/>
                <w:lang w:val="en-US" w:eastAsia="zh-CN"/>
                <w14:textFill>
                  <w14:solidFill>
                    <w14:schemeClr w14:val="tx1"/>
                  </w14:solidFill>
                </w14:textFill>
              </w:rPr>
              <w:t>（第三次）</w:t>
            </w:r>
          </w:p>
        </w:tc>
        <w:tc>
          <w:tcPr>
            <w:tcW w:w="1058" w:type="dxa"/>
            <w:tcBorders>
              <w:tl2br w:val="nil"/>
              <w:tr2bl w:val="nil"/>
            </w:tcBorders>
            <w:shd w:val="clear" w:color="auto" w:fill="auto"/>
            <w:vAlign w:val="center"/>
          </w:tcPr>
          <w:p w14:paraId="1ED57F4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u w:val="none"/>
                <w:vertAlign w:val="baseline"/>
                <w:lang w:val="en-US" w:eastAsia="zh-CN"/>
                <w14:textFill>
                  <w14:solidFill>
                    <w14:schemeClr w14:val="tx1"/>
                  </w14:solidFill>
                </w14:textFill>
              </w:rPr>
              <w:t>蛋糕券</w:t>
            </w:r>
          </w:p>
        </w:tc>
        <w:tc>
          <w:tcPr>
            <w:tcW w:w="1058" w:type="dxa"/>
            <w:tcBorders>
              <w:tl2br w:val="nil"/>
              <w:tr2bl w:val="nil"/>
            </w:tcBorders>
            <w:shd w:val="clear" w:color="auto" w:fill="auto"/>
            <w:vAlign w:val="center"/>
          </w:tcPr>
          <w:p w14:paraId="40731635">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pacing w:val="0"/>
                <w:position w:val="0"/>
                <w:sz w:val="24"/>
                <w:szCs w:val="24"/>
                <w:lang w:val="en-US" w:eastAsia="zh-CN" w:bidi="ar"/>
                <w14:textFill>
                  <w14:solidFill>
                    <w14:schemeClr w14:val="tx1"/>
                  </w14:solidFill>
                </w14:textFill>
              </w:rPr>
            </w:pPr>
          </w:p>
        </w:tc>
        <w:tc>
          <w:tcPr>
            <w:tcW w:w="1058" w:type="dxa"/>
            <w:tcBorders>
              <w:tl2br w:val="nil"/>
              <w:tr2bl w:val="nil"/>
            </w:tcBorders>
            <w:shd w:val="clear" w:color="auto" w:fill="auto"/>
            <w:vAlign w:val="center"/>
          </w:tcPr>
          <w:p w14:paraId="0439CD18">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pacing w:val="0"/>
                <w:position w:val="0"/>
                <w:sz w:val="24"/>
                <w:szCs w:val="24"/>
                <w:lang w:val="en-US" w:eastAsia="zh-CN" w:bidi="ar"/>
                <w14:textFill>
                  <w14:solidFill>
                    <w14:schemeClr w14:val="tx1"/>
                  </w14:solidFill>
                </w14:textFill>
              </w:rPr>
            </w:pPr>
          </w:p>
        </w:tc>
        <w:tc>
          <w:tcPr>
            <w:tcW w:w="1058" w:type="dxa"/>
            <w:tcBorders>
              <w:tl2br w:val="nil"/>
              <w:tr2bl w:val="nil"/>
            </w:tcBorders>
            <w:shd w:val="clear" w:color="auto" w:fill="auto"/>
            <w:vAlign w:val="center"/>
          </w:tcPr>
          <w:p w14:paraId="062DDA5C">
            <w:pPr>
              <w:widowControl/>
              <w:snapToGrid w:val="0"/>
              <w:spacing w:line="240" w:lineRule="auto"/>
              <w:ind w:left="0" w:leftChars="0" w:right="0" w:rightChars="0" w:firstLine="0" w:firstLineChars="0"/>
              <w:jc w:val="center"/>
              <w:textAlignment w:val="center"/>
              <w:rPr>
                <w:rFonts w:hint="eastAsia" w:ascii="宋体" w:hAnsi="宋体" w:eastAsia="宋体" w:cs="宋体"/>
                <w:b/>
                <w:bCs/>
                <w:color w:val="000000" w:themeColor="text1"/>
                <w:spacing w:val="0"/>
                <w:position w:val="0"/>
                <w:sz w:val="24"/>
                <w:szCs w:val="24"/>
                <w:lang w:val="zh-CN" w:eastAsia="zh-CN" w:bidi="ar"/>
                <w14:textFill>
                  <w14:solidFill>
                    <w14:schemeClr w14:val="tx1"/>
                  </w14:solidFill>
                </w14:textFill>
              </w:rPr>
            </w:pPr>
          </w:p>
        </w:tc>
        <w:tc>
          <w:tcPr>
            <w:tcW w:w="1058" w:type="dxa"/>
            <w:tcBorders>
              <w:tl2br w:val="nil"/>
              <w:tr2bl w:val="nil"/>
            </w:tcBorders>
            <w:shd w:val="clear" w:color="auto" w:fill="auto"/>
            <w:vAlign w:val="center"/>
          </w:tcPr>
          <w:p w14:paraId="5D071C23">
            <w:pPr>
              <w:widowControl/>
              <w:snapToGrid w:val="0"/>
              <w:spacing w:line="240" w:lineRule="auto"/>
              <w:ind w:left="0" w:leftChars="0" w:right="0" w:rightChars="0" w:firstLine="0" w:firstLineChars="0"/>
              <w:jc w:val="right"/>
              <w:textAlignment w:val="center"/>
              <w:rPr>
                <w:rFonts w:hint="eastAsia" w:ascii="宋体" w:hAnsi="宋体" w:eastAsia="宋体" w:cs="宋体"/>
                <w:b/>
                <w:bCs/>
                <w:color w:val="000000" w:themeColor="text1"/>
                <w:spacing w:val="0"/>
                <w:position w:val="0"/>
                <w:sz w:val="24"/>
                <w:szCs w:val="24"/>
                <w:lang w:val="zh-CN" w:eastAsia="zh-CN" w:bidi="ar"/>
                <w14:textFill>
                  <w14:solidFill>
                    <w14:schemeClr w14:val="tx1"/>
                  </w14:solidFill>
                </w14:textFill>
              </w:rPr>
            </w:pPr>
          </w:p>
        </w:tc>
        <w:tc>
          <w:tcPr>
            <w:tcW w:w="1058" w:type="dxa"/>
            <w:tcBorders>
              <w:tl2br w:val="nil"/>
              <w:tr2bl w:val="nil"/>
            </w:tcBorders>
            <w:shd w:val="clear" w:color="auto" w:fill="auto"/>
            <w:vAlign w:val="center"/>
          </w:tcPr>
          <w:p w14:paraId="5D20BCE9">
            <w:pPr>
              <w:widowControl/>
              <w:snapToGrid w:val="0"/>
              <w:spacing w:line="240" w:lineRule="auto"/>
              <w:ind w:left="0" w:leftChars="0" w:right="0" w:rightChars="0" w:firstLine="0" w:firstLineChars="0"/>
              <w:jc w:val="right"/>
              <w:textAlignment w:val="center"/>
              <w:rPr>
                <w:rFonts w:hint="eastAsia" w:ascii="宋体" w:hAnsi="宋体" w:eastAsia="宋体" w:cs="宋体"/>
                <w:b/>
                <w:bCs/>
                <w:color w:val="000000" w:themeColor="text1"/>
                <w:spacing w:val="0"/>
                <w:position w:val="0"/>
                <w:sz w:val="24"/>
                <w:szCs w:val="24"/>
                <w:lang w:val="zh-CN" w:eastAsia="zh-CN" w:bidi="ar"/>
                <w14:textFill>
                  <w14:solidFill>
                    <w14:schemeClr w14:val="tx1"/>
                  </w14:solidFill>
                </w14:textFill>
              </w:rPr>
            </w:pPr>
          </w:p>
        </w:tc>
      </w:tr>
      <w:tr w14:paraId="0DDA7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76" w:type="dxa"/>
            <w:gridSpan w:val="7"/>
            <w:tcBorders>
              <w:tl2br w:val="nil"/>
              <w:tr2bl w:val="nil"/>
            </w:tcBorders>
            <w:vAlign w:val="center"/>
          </w:tcPr>
          <w:p w14:paraId="366CF521">
            <w:pPr>
              <w:widowControl/>
              <w:snapToGrid w:val="0"/>
              <w:spacing w:line="240" w:lineRule="auto"/>
              <w:ind w:left="0" w:leftChars="0" w:right="0" w:rightChars="0" w:firstLine="0" w:firstLineChars="0"/>
              <w:jc w:val="left"/>
              <w:textAlignment w:val="center"/>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发票类型：    ，税率     。</w:t>
            </w:r>
          </w:p>
        </w:tc>
      </w:tr>
    </w:tbl>
    <w:p w14:paraId="38A9CAB9">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合同价款</w:t>
      </w:r>
    </w:p>
    <w:p w14:paraId="3BECBDE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本合同采用固定单价的方式，甲方订购的蛋糕券每张面额为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元，结算价为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元，共计订购  张（具体数量根据实际结算）。合同金额为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元（大写：人民币  元整）。其中不含税价为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元（大写：人民币  ），增值税税率为  %，增值税为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元（大写：人民币  ）。在合同履行期间，单价不予调整，最终金额根据双方确认的数量据实结算。</w:t>
      </w:r>
    </w:p>
    <w:p w14:paraId="305147F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合同价款中包含增值税费（税率  %））等各项应有费用，以及乙方为完成该项目所涉及到的一切相关费用，甲方不再支付其他任何费用。</w:t>
      </w:r>
    </w:p>
    <w:p w14:paraId="69B85621">
      <w:pPr>
        <w:spacing w:line="500" w:lineRule="exact"/>
        <w:ind w:firstLine="480" w:firstLineChars="200"/>
        <w:rPr>
          <w:rFonts w:hint="eastAsia" w:ascii="宋体" w:hAnsi="宋体" w:eastAsia="宋体" w:cs="宋体"/>
          <w:color w:val="auto"/>
          <w:spacing w:val="0"/>
          <w:sz w:val="24"/>
          <w:szCs w:val="24"/>
          <w:u w:val="none"/>
          <w:lang w:eastAsia="zh-CN"/>
        </w:rPr>
      </w:pPr>
      <w:r>
        <w:rPr>
          <w:rFonts w:hint="eastAsia" w:cs="宋体"/>
          <w:color w:val="auto"/>
          <w:spacing w:val="0"/>
          <w:sz w:val="24"/>
          <w:szCs w:val="24"/>
          <w:u w:val="none"/>
          <w:lang w:val="en-US" w:eastAsia="zh-CN"/>
        </w:rPr>
        <w:t>3.履约保证金：</w:t>
      </w:r>
      <w:r>
        <w:rPr>
          <w:rFonts w:hint="eastAsia" w:ascii="宋体" w:hAnsi="宋体" w:eastAsia="宋体" w:cs="宋体"/>
          <w:color w:val="auto"/>
          <w:spacing w:val="0"/>
          <w:sz w:val="24"/>
          <w:szCs w:val="24"/>
          <w:u w:val="none"/>
          <w:lang w:val="en-US" w:eastAsia="zh-CN"/>
        </w:rPr>
        <w:t>为签约合同价的5%。待合同约定条款全部履行完毕后予以返还。</w:t>
      </w:r>
    </w:p>
    <w:p w14:paraId="53C38A32">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产品交付</w:t>
      </w:r>
    </w:p>
    <w:p w14:paraId="6C26E146">
      <w:pPr>
        <w:pStyle w:val="6"/>
        <w:keepNext w:val="0"/>
        <w:keepLines w:val="0"/>
        <w:pageBreakBefore w:val="0"/>
        <w:widowControl w:val="0"/>
        <w:numPr>
          <w:ilvl w:val="0"/>
          <w:numId w:val="0"/>
        </w:numPr>
        <w:tabs>
          <w:tab w:val="left" w:pos="2677"/>
        </w:tabs>
        <w:kinsoku/>
        <w:wordWrap/>
        <w:overflowPunct/>
        <w:autoSpaceDE/>
        <w:autoSpaceDN/>
        <w:bidi w:val="0"/>
        <w:adjustRightInd/>
        <w:snapToGrid/>
        <w:spacing w:before="0" w:line="440" w:lineRule="exact"/>
        <w:ind w:right="-54"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1.甲乙双方通过本合同约定的电话、微信（包括由指定联系人建立的微信群）等联系下单、券交付、账目核对、发票开具、售后沟通等，通过本合同约定联系方式所确认的内容具有法律效力。</w:t>
      </w:r>
    </w:p>
    <w:p w14:paraId="4B7822A2">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通讯地址和联系方式</w:t>
      </w:r>
    </w:p>
    <w:p w14:paraId="7A28B329">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w:t>
      </w:r>
    </w:p>
    <w:p w14:paraId="42D82FA9">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highlight w:val="none"/>
          <w:u w:val="single"/>
          <w:lang w:val="en-US" w:eastAsia="zh-CN"/>
        </w:rPr>
        <w:t xml:space="preserve"> </w:t>
      </w:r>
    </w:p>
    <w:p w14:paraId="289589DE">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sz w:val="24"/>
          <w:szCs w:val="24"/>
          <w:u w:val="single"/>
          <w:lang w:val="en-US" w:eastAsia="zh-CN"/>
        </w:rPr>
        <w:t xml:space="preserve"> </w:t>
      </w:r>
    </w:p>
    <w:p w14:paraId="40F23C1B">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lang w:val="en-US" w:eastAsia="zh-CN"/>
        </w:rPr>
        <w:t>联系电话</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015F3CD5">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w:t>
      </w:r>
    </w:p>
    <w:p w14:paraId="73638D62">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通讯地址</w:t>
      </w:r>
      <w:r>
        <w:rPr>
          <w:rFonts w:hint="eastAsia" w:ascii="宋体" w:hAnsi="宋体" w:eastAsia="宋体" w:cs="宋体"/>
          <w:sz w:val="24"/>
          <w:szCs w:val="24"/>
          <w:highlight w:val="none"/>
          <w:lang w:eastAsia="zh-CN"/>
        </w:rPr>
        <w:t>：</w:t>
      </w:r>
    </w:p>
    <w:p w14:paraId="5217072C">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p w14:paraId="1E5E73BA">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80E40E9">
      <w:pPr>
        <w:numPr>
          <w:ilvl w:val="0"/>
          <w:numId w:val="2"/>
        </w:numPr>
        <w:tabs>
          <w:tab w:val="clear" w:pos="312"/>
        </w:tabs>
        <w:topLinePunct/>
        <w:autoSpaceDE/>
        <w:autoSpaceDN/>
        <w:spacing w:line="440" w:lineRule="exact"/>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甲方指定收货人为：   ，确认货物的收货数量和采购数量一致、金额及每张券对应的卡号号段等与之相关的信息。</w:t>
      </w:r>
    </w:p>
    <w:p w14:paraId="36122F76">
      <w:pPr>
        <w:numPr>
          <w:ilvl w:val="0"/>
          <w:numId w:val="2"/>
        </w:numPr>
        <w:tabs>
          <w:tab w:val="clear" w:pos="312"/>
        </w:tabs>
        <w:topLinePunct/>
        <w:autoSpaceDE/>
        <w:autoSpaceDN/>
        <w:spacing w:line="440" w:lineRule="exact"/>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w:t>
      </w:r>
      <w:r>
        <w:rPr>
          <w:rFonts w:hint="eastAsia" w:ascii="宋体" w:hAnsi="宋体" w:eastAsia="宋体" w:cs="宋体"/>
          <w:kern w:val="2"/>
          <w:sz w:val="24"/>
          <w:szCs w:val="24"/>
          <w:lang w:val="zh-CN" w:eastAsia="zh-CN" w:bidi="ar-SA"/>
        </w:rPr>
        <w:t>方授权委托</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zh-CN" w:eastAsia="zh-CN" w:bidi="ar-SA"/>
        </w:rPr>
        <w:t xml:space="preserve"> （身份证号：</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zh-CN" w:eastAsia="zh-CN" w:bidi="ar-SA"/>
        </w:rPr>
        <w:t>），联系电</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zh-CN" w:eastAsia="zh-CN" w:bidi="ar-SA"/>
        </w:rPr>
        <w:t>作为</w:t>
      </w:r>
      <w:r>
        <w:rPr>
          <w:rFonts w:hint="eastAsia" w:ascii="宋体" w:hAnsi="宋体" w:eastAsia="宋体" w:cs="宋体"/>
          <w:kern w:val="2"/>
          <w:sz w:val="24"/>
          <w:szCs w:val="24"/>
          <w:lang w:val="en-US" w:eastAsia="zh-CN" w:bidi="ar-SA"/>
        </w:rPr>
        <w:t>乙</w:t>
      </w:r>
      <w:r>
        <w:rPr>
          <w:rFonts w:hint="eastAsia" w:ascii="宋体" w:hAnsi="宋体" w:eastAsia="宋体" w:cs="宋体"/>
          <w:kern w:val="2"/>
          <w:sz w:val="24"/>
          <w:szCs w:val="24"/>
          <w:lang w:val="zh-CN" w:eastAsia="zh-CN" w:bidi="ar-SA"/>
        </w:rPr>
        <w:t>方的合同履行代理人（经办人）与</w:t>
      </w:r>
      <w:r>
        <w:rPr>
          <w:rFonts w:hint="eastAsia" w:ascii="宋体" w:hAnsi="宋体" w:eastAsia="宋体" w:cs="宋体"/>
          <w:kern w:val="2"/>
          <w:sz w:val="24"/>
          <w:szCs w:val="24"/>
          <w:lang w:val="en-US" w:eastAsia="zh-CN" w:bidi="ar-SA"/>
        </w:rPr>
        <w:t>甲</w:t>
      </w:r>
      <w:r>
        <w:rPr>
          <w:rFonts w:hint="eastAsia" w:ascii="宋体" w:hAnsi="宋体" w:eastAsia="宋体" w:cs="宋体"/>
          <w:kern w:val="2"/>
          <w:sz w:val="24"/>
          <w:szCs w:val="24"/>
          <w:lang w:val="zh-CN" w:eastAsia="zh-CN" w:bidi="ar-SA"/>
        </w:rPr>
        <w:t>方具体履行本合同约定事项，包括但不限于含</w:t>
      </w:r>
      <w:r>
        <w:rPr>
          <w:rFonts w:hint="eastAsia" w:ascii="宋体" w:hAnsi="宋体" w:eastAsia="宋体" w:cs="宋体"/>
          <w:kern w:val="2"/>
          <w:sz w:val="24"/>
          <w:szCs w:val="24"/>
          <w:lang w:val="en-US" w:eastAsia="zh-CN" w:bidi="ar-SA"/>
        </w:rPr>
        <w:t>货物的收货数量和采购数量一致、金额及每张券对应的卡号号段等与之相关的信息</w:t>
      </w:r>
      <w:r>
        <w:rPr>
          <w:rFonts w:hint="eastAsia" w:ascii="宋体" w:hAnsi="宋体" w:eastAsia="宋体" w:cs="宋体"/>
          <w:kern w:val="2"/>
          <w:sz w:val="24"/>
          <w:szCs w:val="24"/>
          <w:lang w:val="zh-CN" w:eastAsia="zh-CN" w:bidi="ar-SA"/>
        </w:rPr>
        <w:t>、货款核对、</w:t>
      </w:r>
      <w:r>
        <w:rPr>
          <w:rFonts w:hint="eastAsia" w:ascii="宋体" w:hAnsi="宋体" w:eastAsia="宋体" w:cs="宋体"/>
          <w:kern w:val="2"/>
          <w:sz w:val="24"/>
          <w:szCs w:val="24"/>
          <w:lang w:val="en-US" w:eastAsia="zh-CN" w:bidi="ar-SA"/>
        </w:rPr>
        <w:t>货款结算事宜相关资料提供</w:t>
      </w:r>
      <w:r>
        <w:rPr>
          <w:rFonts w:hint="eastAsia" w:ascii="宋体" w:hAnsi="宋体" w:eastAsia="宋体" w:cs="宋体"/>
          <w:kern w:val="2"/>
          <w:sz w:val="24"/>
          <w:szCs w:val="24"/>
          <w:lang w:val="zh-CN" w:eastAsia="zh-CN" w:bidi="ar-SA"/>
        </w:rPr>
        <w:t>等事项。</w:t>
      </w:r>
    </w:p>
    <w:p w14:paraId="4080CB6A">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5.蛋糕券的送货地址为：</w:t>
      </w:r>
      <w:r>
        <w:rPr>
          <w:rFonts w:hint="eastAsia" w:ascii="宋体" w:hAnsi="宋体" w:eastAsia="宋体" w:cs="宋体"/>
          <w:sz w:val="24"/>
          <w:szCs w:val="24"/>
          <w:highlight w:val="none"/>
          <w:u w:val="single"/>
          <w:lang w:val="en-US" w:eastAsia="zh-CN"/>
        </w:rPr>
        <w:t>四川省成都市双流区蜀道云上城12号楼13楼1302</w:t>
      </w:r>
      <w:r>
        <w:rPr>
          <w:rFonts w:hint="eastAsia" w:ascii="宋体" w:hAnsi="宋体" w:eastAsia="宋体" w:cs="宋体"/>
          <w:kern w:val="2"/>
          <w:sz w:val="24"/>
          <w:szCs w:val="24"/>
          <w:highlight w:val="none"/>
          <w:u w:val="single"/>
          <w:lang w:val="en-US" w:eastAsia="zh-CN" w:bidi="ar-SA"/>
        </w:rPr>
        <w:t>，</w:t>
      </w:r>
      <w:r>
        <w:rPr>
          <w:rFonts w:hint="eastAsia" w:ascii="宋体" w:hAnsi="宋体" w:eastAsia="宋体" w:cs="宋体"/>
          <w:kern w:val="2"/>
          <w:sz w:val="24"/>
          <w:szCs w:val="24"/>
          <w:lang w:val="en-US" w:eastAsia="zh-CN" w:bidi="ar-SA"/>
        </w:rPr>
        <w:t xml:space="preserve">送货时间为：    </w:t>
      </w:r>
      <w:r>
        <w:rPr>
          <w:rFonts w:hint="eastAsia" w:ascii="宋体" w:hAnsi="宋体" w:eastAsia="宋体" w:cs="宋体"/>
          <w:color w:val="auto"/>
          <w:kern w:val="2"/>
          <w:sz w:val="24"/>
          <w:szCs w:val="24"/>
          <w:lang w:val="en-US" w:eastAsia="zh-CN" w:bidi="ar-SA"/>
        </w:rPr>
        <w:t>。</w:t>
      </w:r>
    </w:p>
    <w:p w14:paraId="762125BE">
      <w:pPr>
        <w:pStyle w:val="6"/>
        <w:keepNext w:val="0"/>
        <w:keepLines w:val="0"/>
        <w:pageBreakBefore w:val="0"/>
        <w:widowControl w:val="0"/>
        <w:tabs>
          <w:tab w:val="left" w:pos="2677"/>
        </w:tabs>
        <w:kinsoku/>
        <w:wordWrap/>
        <w:overflowPunct/>
        <w:autoSpaceDE/>
        <w:autoSpaceDN/>
        <w:bidi w:val="0"/>
        <w:adjustRightInd/>
        <w:snapToGrid/>
        <w:spacing w:before="0" w:line="440" w:lineRule="exact"/>
        <w:ind w:right="-54"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6.因蛋糕券为不记名券，具有特殊性，甲方应在收货同时对乙方提供的券数量、券面金额进行核实。</w:t>
      </w:r>
    </w:p>
    <w:p w14:paraId="646FD7D9">
      <w:pPr>
        <w:pStyle w:val="6"/>
        <w:tabs>
          <w:tab w:val="left" w:pos="2677"/>
        </w:tabs>
        <w:autoSpaceDE/>
        <w:autoSpaceDN/>
        <w:spacing w:line="44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甲方持券人使用蛋糕券在乙方门店购买货品后，应按照乙方产品包装上规定的时间、条件和方式等进行存储。持券人未按规定储存的，出现的质量、售后等相关问题，均由甲方及持券人自行承担全部责任。产品持有人应在乙方产品包装上注明的保质期内食用产品，超过保质期限的产品应当立即销毁、及时处理，不得自行或提供给其他任何第三方食用、也不得转卖、赠送给其他第三方。产品持有人将超过保质期的产品对外提供或自行食用的，给自身或他人造成损害，均由甲方及产品持有人自行承担全部责任。</w:t>
      </w:r>
    </w:p>
    <w:p w14:paraId="2026306B">
      <w:pPr>
        <w:pStyle w:val="6"/>
        <w:tabs>
          <w:tab w:val="left" w:pos="2677"/>
        </w:tabs>
        <w:autoSpaceDE/>
        <w:autoSpaceDN/>
        <w:spacing w:line="44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第四条 甲乙双方权利与义务</w:t>
      </w:r>
    </w:p>
    <w:p w14:paraId="1801A062">
      <w:pPr>
        <w:pStyle w:val="6"/>
        <w:tabs>
          <w:tab w:val="left" w:pos="2677"/>
        </w:tabs>
        <w:autoSpaceDE/>
        <w:autoSpaceDN/>
        <w:spacing w:line="440" w:lineRule="exact"/>
        <w:ind w:firstLine="480" w:firstLineChars="200"/>
        <w:jc w:val="left"/>
        <w:rPr>
          <w:rFonts w:hint="eastAsia" w:cs="宋体"/>
          <w:kern w:val="2"/>
          <w:sz w:val="24"/>
          <w:szCs w:val="24"/>
          <w:lang w:val="en-US" w:eastAsia="zh-CN" w:bidi="ar-SA"/>
        </w:rPr>
      </w:pPr>
      <w:r>
        <w:rPr>
          <w:rFonts w:hint="eastAsia" w:cs="宋体"/>
          <w:kern w:val="2"/>
          <w:sz w:val="24"/>
          <w:szCs w:val="24"/>
          <w:lang w:val="en-US" w:eastAsia="zh-CN" w:bidi="ar-SA"/>
        </w:rPr>
        <w:t>（1）甲方权利与义务</w:t>
      </w:r>
    </w:p>
    <w:p w14:paraId="2B7F7867">
      <w:pPr>
        <w:pStyle w:val="6"/>
        <w:numPr>
          <w:ilvl w:val="-1"/>
          <w:numId w:val="0"/>
        </w:numPr>
        <w:tabs>
          <w:tab w:val="left" w:pos="2677"/>
        </w:tabs>
        <w:autoSpaceDE/>
        <w:autoSpaceDN/>
        <w:spacing w:line="440" w:lineRule="exact"/>
        <w:ind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bidi="ar-SA"/>
        </w:rPr>
        <w:t>甲方仅为蛋糕券采购方，</w:t>
      </w:r>
      <w:r>
        <w:rPr>
          <w:rFonts w:hint="eastAsia" w:ascii="宋体" w:hAnsi="宋体" w:eastAsia="宋体" w:cs="宋体"/>
          <w:b w:val="0"/>
          <w:bCs w:val="0"/>
          <w:kern w:val="2"/>
          <w:sz w:val="24"/>
          <w:szCs w:val="24"/>
          <w:lang w:val="en-US" w:bidi="ar-SA"/>
        </w:rPr>
        <w:t>不从事食品生产经营，不承担食品安全环节责任</w:t>
      </w:r>
      <w:r>
        <w:rPr>
          <w:rFonts w:hint="eastAsia" w:ascii="宋体" w:hAnsi="宋体" w:eastAsia="宋体" w:cs="宋体"/>
          <w:kern w:val="2"/>
          <w:sz w:val="24"/>
          <w:szCs w:val="24"/>
          <w:lang w:val="en-US" w:bidi="ar-SA"/>
        </w:rPr>
        <w:t>。</w:t>
      </w:r>
    </w:p>
    <w:p w14:paraId="5BA223A4">
      <w:pPr>
        <w:pStyle w:val="6"/>
        <w:tabs>
          <w:tab w:val="left" w:pos="2677"/>
        </w:tabs>
        <w:autoSpaceDE/>
        <w:autoSpaceDN/>
        <w:spacing w:line="440" w:lineRule="exact"/>
        <w:ind w:firstLine="480" w:firstLineChars="200"/>
        <w:jc w:val="left"/>
        <w:rPr>
          <w:rFonts w:hint="eastAsia" w:cs="宋体"/>
          <w:kern w:val="2"/>
          <w:sz w:val="24"/>
          <w:szCs w:val="24"/>
          <w:lang w:val="en-US" w:eastAsia="zh-CN" w:bidi="ar-SA"/>
        </w:rPr>
      </w:pPr>
      <w:r>
        <w:rPr>
          <w:rFonts w:hint="eastAsia" w:cs="宋体"/>
          <w:kern w:val="2"/>
          <w:sz w:val="24"/>
          <w:szCs w:val="24"/>
          <w:lang w:val="en-US" w:eastAsia="zh-CN" w:bidi="ar-SA"/>
        </w:rPr>
        <w:t>（2）乙方权利与义务</w:t>
      </w:r>
    </w:p>
    <w:p w14:paraId="2614F64A">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bidi="ar-SA"/>
        </w:rPr>
        <w:t>乙方为食品生产经营主体，对</w:t>
      </w:r>
      <w:r>
        <w:rPr>
          <w:rFonts w:hint="eastAsia" w:ascii="宋体" w:hAnsi="宋体" w:eastAsia="宋体" w:cs="宋体"/>
          <w:b w:val="0"/>
          <w:bCs w:val="0"/>
          <w:kern w:val="2"/>
          <w:sz w:val="24"/>
          <w:szCs w:val="24"/>
          <w:lang w:val="en-US" w:bidi="ar-SA"/>
        </w:rPr>
        <w:t>券兑换食品的全流程食品安全承担唯一、全部、终局责任</w:t>
      </w:r>
      <w:r>
        <w:rPr>
          <w:rFonts w:hint="eastAsia" w:ascii="宋体" w:hAnsi="宋体" w:eastAsia="宋体" w:cs="宋体"/>
          <w:kern w:val="2"/>
          <w:sz w:val="24"/>
          <w:szCs w:val="24"/>
          <w:lang w:val="en-US" w:bidi="ar-SA"/>
        </w:rPr>
        <w:t>。</w:t>
      </w:r>
    </w:p>
    <w:p w14:paraId="6F7C22F4">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bidi="ar-SA"/>
        </w:rPr>
        <w:t>乙方保证兑换食品</w:t>
      </w:r>
      <w:r>
        <w:rPr>
          <w:rFonts w:hint="eastAsia" w:ascii="宋体" w:hAnsi="宋体" w:eastAsia="宋体" w:cs="宋体"/>
          <w:b w:val="0"/>
          <w:bCs w:val="0"/>
          <w:kern w:val="2"/>
          <w:sz w:val="24"/>
          <w:szCs w:val="24"/>
          <w:lang w:val="en-US" w:bidi="ar-SA"/>
        </w:rPr>
        <w:t>符合国家食品安全标准</w:t>
      </w:r>
      <w:r>
        <w:rPr>
          <w:rFonts w:hint="eastAsia" w:ascii="宋体" w:hAnsi="宋体" w:eastAsia="宋体" w:cs="宋体"/>
          <w:kern w:val="2"/>
          <w:sz w:val="24"/>
          <w:szCs w:val="24"/>
          <w:lang w:val="en-US" w:bidi="ar-SA"/>
        </w:rPr>
        <w:t>，原料合格、新鲜可溯，不使用过期/变质/回收原料、违规添加剂，不生产经营 “三无”、感官异常、过期食品。</w:t>
      </w:r>
    </w:p>
    <w:p w14:paraId="02E971EC">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bidi="ar-SA"/>
        </w:rPr>
        <w:t>乙方承诺生产、储存、陈列、包装、交付全程合规，生熟分开、冷链到位、工具消毒、防尘防污染，交付时清晰标注</w:t>
      </w:r>
      <w:r>
        <w:rPr>
          <w:rFonts w:hint="eastAsia" w:ascii="宋体" w:hAnsi="宋体" w:eastAsia="宋体" w:cs="宋体"/>
          <w:b w:val="0"/>
          <w:bCs w:val="0"/>
          <w:kern w:val="2"/>
          <w:sz w:val="24"/>
          <w:szCs w:val="24"/>
          <w:lang w:val="en-US" w:bidi="ar-SA"/>
        </w:rPr>
        <w:t>生产日期、保质期、保存条件、食用提示</w:t>
      </w:r>
      <w:r>
        <w:rPr>
          <w:rFonts w:hint="eastAsia" w:ascii="宋体" w:hAnsi="宋体" w:eastAsia="宋体" w:cs="宋体"/>
          <w:kern w:val="2"/>
          <w:sz w:val="24"/>
          <w:szCs w:val="24"/>
          <w:lang w:val="en-US" w:bidi="ar-SA"/>
        </w:rPr>
        <w:t>。</w:t>
      </w:r>
    </w:p>
    <w:p w14:paraId="2782D18A">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bidi="ar-SA"/>
        </w:rPr>
        <w:t>乙方对</w:t>
      </w:r>
      <w:r>
        <w:rPr>
          <w:rFonts w:hint="eastAsia" w:ascii="宋体" w:hAnsi="宋体" w:eastAsia="宋体" w:cs="宋体"/>
          <w:b w:val="0"/>
          <w:bCs w:val="0"/>
          <w:kern w:val="2"/>
          <w:sz w:val="24"/>
          <w:szCs w:val="24"/>
          <w:lang w:val="en-US" w:bidi="ar-SA"/>
        </w:rPr>
        <w:t>交付前</w:t>
      </w:r>
      <w:r>
        <w:rPr>
          <w:rFonts w:hint="eastAsia" w:ascii="宋体" w:hAnsi="宋体" w:eastAsia="宋体" w:cs="宋体"/>
          <w:kern w:val="2"/>
          <w:sz w:val="24"/>
          <w:szCs w:val="24"/>
          <w:lang w:val="en-US" w:bidi="ar-SA"/>
        </w:rPr>
        <w:t>食品质量与安全负全责；持券人提货时可现场检查外观、包装、保质期，确认无误后签收/领取。</w:t>
      </w:r>
    </w:p>
    <w:p w14:paraId="2BDD9C51">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bidi="ar-SA"/>
        </w:rPr>
        <w:t>凡因乙方提供食品不符合安全标准，导致持券人/食用人</w:t>
      </w:r>
      <w:r>
        <w:rPr>
          <w:rFonts w:hint="eastAsia" w:ascii="宋体" w:hAnsi="宋体" w:eastAsia="宋体" w:cs="宋体"/>
          <w:b w:val="0"/>
          <w:bCs w:val="0"/>
          <w:kern w:val="2"/>
          <w:sz w:val="24"/>
          <w:szCs w:val="24"/>
          <w:lang w:val="en-US" w:bidi="ar-SA"/>
        </w:rPr>
        <w:t>腹痛、呕吐、腹泻、食物中毒、人身损害</w:t>
      </w:r>
      <w:r>
        <w:rPr>
          <w:rFonts w:hint="eastAsia" w:ascii="宋体" w:hAnsi="宋体" w:eastAsia="宋体" w:cs="宋体"/>
          <w:kern w:val="2"/>
          <w:sz w:val="24"/>
          <w:szCs w:val="24"/>
          <w:lang w:val="en-US" w:bidi="ar-SA"/>
        </w:rPr>
        <w:t>等，均由乙方承担全部法律责任与经济赔偿。</w:t>
      </w:r>
    </w:p>
    <w:p w14:paraId="183DC614">
      <w:pPr>
        <w:widowControl/>
        <w:pBdr>
          <w:top w:val="none" w:color="auto" w:sz="0" w:space="0"/>
          <w:left w:val="none" w:color="auto" w:sz="0" w:space="0"/>
          <w:bottom w:val="none" w:color="auto" w:sz="0" w:space="0"/>
          <w:right w:val="none" w:color="auto" w:sz="0" w:space="0"/>
        </w:pBdr>
        <w:autoSpaceDE/>
        <w:autoSpaceDN/>
        <w:spacing w:line="440" w:lineRule="exact"/>
        <w:rPr>
          <w:rFonts w:hint="default" w:eastAsia="宋体"/>
          <w:lang w:val="en-US" w:eastAsia="zh-CN"/>
        </w:rPr>
      </w:pPr>
      <w:r>
        <w:rPr>
          <w:rFonts w:hint="eastAsia" w:ascii="宋体" w:hAnsi="宋体" w:cs="宋体"/>
          <w:kern w:val="2"/>
          <w:sz w:val="24"/>
          <w:szCs w:val="24"/>
          <w:lang w:val="en-US" w:eastAsia="zh-CN" w:bidi="ar-SA"/>
        </w:rPr>
        <w:t xml:space="preserve">    6.</w:t>
      </w:r>
      <w:r>
        <w:rPr>
          <w:rFonts w:hint="eastAsia" w:ascii="宋体" w:hAnsi="宋体" w:eastAsia="宋体" w:cs="宋体"/>
          <w:kern w:val="2"/>
          <w:sz w:val="24"/>
          <w:szCs w:val="24"/>
          <w:lang w:val="en-US" w:bidi="ar-SA"/>
        </w:rPr>
        <w:t>持券人提货后应按标注条件储存、及时食用；因</w:t>
      </w:r>
      <w:r>
        <w:rPr>
          <w:rFonts w:hint="eastAsia" w:ascii="宋体" w:hAnsi="宋体" w:eastAsia="宋体" w:cs="宋体"/>
          <w:b w:val="0"/>
          <w:bCs w:val="0"/>
          <w:kern w:val="2"/>
          <w:sz w:val="24"/>
          <w:szCs w:val="24"/>
          <w:lang w:val="en-US" w:bidi="ar-SA"/>
        </w:rPr>
        <w:t>持券人储存不当、逾期食用、自行改刀/二次污染</w:t>
      </w:r>
      <w:r>
        <w:rPr>
          <w:rFonts w:hint="eastAsia" w:ascii="宋体" w:hAnsi="宋体" w:eastAsia="宋体" w:cs="宋体"/>
          <w:kern w:val="2"/>
          <w:sz w:val="24"/>
          <w:szCs w:val="24"/>
          <w:lang w:val="en-US" w:bidi="ar-SA"/>
        </w:rPr>
        <w:t>等导致的安全问题，乙方不承担责任。</w:t>
      </w:r>
    </w:p>
    <w:p w14:paraId="3700681E">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b w:val="0"/>
          <w:bCs w:val="0"/>
          <w:kern w:val="2"/>
          <w:sz w:val="24"/>
          <w:szCs w:val="24"/>
          <w:lang w:val="en-US" w:bidi="ar-SA"/>
        </w:rPr>
        <w:t>赔偿范围</w:t>
      </w:r>
      <w:r>
        <w:rPr>
          <w:rFonts w:hint="eastAsia" w:ascii="宋体" w:hAnsi="宋体" w:eastAsia="宋体" w:cs="宋体"/>
          <w:kern w:val="2"/>
          <w:sz w:val="24"/>
          <w:szCs w:val="24"/>
          <w:lang w:val="en-US" w:bidi="ar-SA"/>
        </w:rPr>
        <w:t>（包括但不限于）：</w:t>
      </w:r>
    </w:p>
    <w:p w14:paraId="4CEE948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cs="宋体"/>
          <w:kern w:val="2"/>
          <w:sz w:val="24"/>
          <w:szCs w:val="24"/>
          <w:lang w:val="en-US" w:eastAsia="zh-CN" w:bidi="ar-SA"/>
        </w:rPr>
        <w:t>7</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bidi="ar-SA"/>
        </w:rPr>
        <w:t>医疗费、护理费、误工费、交通费、住院伙食补助、营养费、残疾赔偿金、丧葬费、死亡赔偿金等；</w:t>
      </w:r>
    </w:p>
    <w:p w14:paraId="1885CF2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cs="宋体"/>
          <w:kern w:val="2"/>
          <w:sz w:val="24"/>
          <w:szCs w:val="24"/>
          <w:lang w:val="en-US" w:eastAsia="zh-CN" w:bidi="ar-SA"/>
        </w:rPr>
        <w:t>7</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bidi="ar-SA"/>
        </w:rPr>
        <w:t>依据《食品安全法》第148条承担</w:t>
      </w:r>
      <w:r>
        <w:rPr>
          <w:rFonts w:hint="eastAsia" w:ascii="宋体" w:hAnsi="宋体" w:eastAsia="宋体" w:cs="宋体"/>
          <w:b w:val="0"/>
          <w:bCs w:val="0"/>
          <w:kern w:val="2"/>
          <w:sz w:val="24"/>
          <w:szCs w:val="24"/>
          <w:lang w:val="en-US" w:bidi="ar-SA"/>
        </w:rPr>
        <w:t>惩罚性赔偿</w:t>
      </w:r>
      <w:r>
        <w:rPr>
          <w:rFonts w:hint="eastAsia" w:ascii="宋体" w:hAnsi="宋体" w:eastAsia="宋体" w:cs="宋体"/>
          <w:kern w:val="2"/>
          <w:sz w:val="24"/>
          <w:szCs w:val="24"/>
          <w:lang w:val="en-US" w:bidi="ar-SA"/>
        </w:rPr>
        <w:t>：价款十倍或损失三倍，</w:t>
      </w:r>
      <w:r>
        <w:rPr>
          <w:rFonts w:hint="eastAsia" w:ascii="宋体" w:hAnsi="宋体" w:eastAsia="宋体" w:cs="宋体"/>
          <w:b w:val="0"/>
          <w:bCs w:val="0"/>
          <w:kern w:val="2"/>
          <w:sz w:val="24"/>
          <w:szCs w:val="24"/>
          <w:lang w:val="en-US" w:bidi="ar-SA"/>
        </w:rPr>
        <w:t>最低1000元/单</w:t>
      </w:r>
      <w:r>
        <w:rPr>
          <w:rFonts w:hint="eastAsia" w:ascii="宋体" w:hAnsi="宋体" w:eastAsia="宋体" w:cs="宋体"/>
          <w:kern w:val="2"/>
          <w:sz w:val="24"/>
          <w:szCs w:val="24"/>
          <w:lang w:val="en-US" w:bidi="ar-SA"/>
        </w:rPr>
        <w:t>；</w:t>
      </w:r>
    </w:p>
    <w:p w14:paraId="3C3F080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cs="宋体"/>
          <w:kern w:val="2"/>
          <w:sz w:val="24"/>
          <w:szCs w:val="24"/>
          <w:lang w:val="en-US" w:eastAsia="zh-CN" w:bidi="ar-SA"/>
        </w:rPr>
        <w:t>7</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bidi="ar-SA"/>
        </w:rPr>
        <w:t>监管处罚、投诉处理、鉴定费、律师费、诉讼费、保全费、公告费、舆情处置费等全部费用。</w:t>
      </w:r>
    </w:p>
    <w:p w14:paraId="5A3AA20A">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bidi="ar-SA"/>
        </w:rPr>
        <w:t>发生疑似食品安全事件，乙方须</w:t>
      </w:r>
      <w:r>
        <w:rPr>
          <w:rFonts w:hint="eastAsia" w:ascii="宋体" w:hAnsi="宋体" w:eastAsia="宋体" w:cs="宋体"/>
          <w:b w:val="0"/>
          <w:bCs w:val="0"/>
          <w:kern w:val="2"/>
          <w:sz w:val="24"/>
          <w:szCs w:val="24"/>
          <w:lang w:val="en-US" w:bidi="ar-SA"/>
        </w:rPr>
        <w:t>立即处置、配合调查、封存同批次产品、固定证据</w:t>
      </w:r>
      <w:r>
        <w:rPr>
          <w:rFonts w:hint="eastAsia" w:ascii="宋体" w:hAnsi="宋体" w:eastAsia="宋体" w:cs="宋体"/>
          <w:kern w:val="2"/>
          <w:sz w:val="24"/>
          <w:szCs w:val="24"/>
          <w:lang w:val="en-US" w:bidi="ar-SA"/>
        </w:rPr>
        <w:t>，不得隐瞒、推诿、销毁证据。</w:t>
      </w:r>
    </w:p>
    <w:p w14:paraId="07E36905">
      <w:pPr>
        <w:keepNext w:val="0"/>
        <w:keepLines w:val="0"/>
        <w:widowControl/>
        <w:suppressLineNumbers w:val="0"/>
        <w:pBdr>
          <w:top w:val="none" w:color="auto" w:sz="0" w:space="0"/>
          <w:left w:val="none" w:color="auto" w:sz="0" w:space="0"/>
          <w:bottom w:val="none" w:color="auto" w:sz="0" w:space="0"/>
          <w:right w:val="none" w:color="auto" w:sz="0" w:space="0"/>
        </w:pBdr>
        <w:autoSpaceDE/>
        <w:autoSpaceDN/>
        <w:spacing w:before="0" w:beforeAutospacing="0" w:after="0" w:afterAutospacing="0" w:line="440" w:lineRule="exact"/>
        <w:ind w:left="0" w:right="0" w:firstLine="480" w:firstLineChars="20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8</w:t>
      </w:r>
      <w:r>
        <w:rPr>
          <w:rFonts w:hint="eastAsia" w:ascii="宋体" w:hAnsi="宋体" w:eastAsia="宋体" w:cs="宋体"/>
          <w:b w:val="0"/>
          <w:bCs w:val="0"/>
          <w:kern w:val="2"/>
          <w:sz w:val="24"/>
          <w:szCs w:val="24"/>
          <w:lang w:val="en-US" w:eastAsia="zh-CN" w:bidi="ar-SA"/>
        </w:rPr>
        <w:t>.</w:t>
      </w:r>
      <w:r>
        <w:rPr>
          <w:rFonts w:hint="eastAsia" w:ascii="宋体" w:hAnsi="宋体" w:eastAsia="宋体" w:cs="宋体"/>
          <w:kern w:val="2"/>
          <w:sz w:val="24"/>
          <w:szCs w:val="24"/>
          <w:lang w:val="en-US" w:bidi="ar-SA"/>
        </w:rPr>
        <w:t>因乙方食品安全问题导致甲方被投诉、起诉、处罚或先行赔付的，甲方有权向乙方</w:t>
      </w:r>
      <w:r>
        <w:rPr>
          <w:rFonts w:hint="eastAsia" w:ascii="宋体" w:hAnsi="宋体" w:eastAsia="宋体" w:cs="宋体"/>
          <w:b w:val="0"/>
          <w:bCs w:val="0"/>
          <w:kern w:val="2"/>
          <w:sz w:val="24"/>
          <w:szCs w:val="24"/>
          <w:lang w:val="en-US" w:bidi="ar-SA"/>
        </w:rPr>
        <w:t>全额追偿</w:t>
      </w:r>
      <w:r>
        <w:rPr>
          <w:rFonts w:hint="eastAsia" w:ascii="宋体" w:hAnsi="宋体" w:eastAsia="宋体" w:cs="宋体"/>
          <w:kern w:val="2"/>
          <w:sz w:val="24"/>
          <w:szCs w:val="24"/>
          <w:lang w:val="en-US" w:bidi="ar-SA"/>
        </w:rPr>
        <w:t>，乙方应在甲方通知后</w:t>
      </w:r>
      <w:r>
        <w:rPr>
          <w:rFonts w:hint="eastAsia" w:cs="宋体"/>
          <w:kern w:val="2"/>
          <w:sz w:val="24"/>
          <w:szCs w:val="24"/>
          <w:lang w:val="en-US" w:eastAsia="zh-CN" w:bidi="ar-SA"/>
        </w:rPr>
        <w:t>3</w:t>
      </w:r>
      <w:r>
        <w:rPr>
          <w:rFonts w:hint="eastAsia" w:ascii="宋体" w:hAnsi="宋体" w:eastAsia="宋体" w:cs="宋体"/>
          <w:kern w:val="2"/>
          <w:sz w:val="24"/>
          <w:szCs w:val="24"/>
          <w:lang w:val="en-US" w:bidi="ar-SA"/>
        </w:rPr>
        <w:t>个工作日内付清全部款项。</w:t>
      </w:r>
    </w:p>
    <w:p w14:paraId="14C1534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sz w:val="24"/>
          <w:szCs w:val="24"/>
        </w:rPr>
      </w:pPr>
      <w:r>
        <w:rPr>
          <w:rFonts w:hint="eastAsia" w:cs="宋体"/>
          <w:b/>
          <w:sz w:val="24"/>
          <w:szCs w:val="24"/>
          <w:lang w:val="en-US" w:eastAsia="zh-CN"/>
        </w:rPr>
        <w:t xml:space="preserve">第五条 </w:t>
      </w:r>
      <w:r>
        <w:rPr>
          <w:rFonts w:hint="eastAsia" w:ascii="宋体" w:hAnsi="宋体" w:eastAsia="宋体" w:cs="宋体"/>
          <w:b/>
          <w:sz w:val="24"/>
          <w:szCs w:val="24"/>
          <w:lang w:val="en-US" w:eastAsia="zh-CN"/>
        </w:rPr>
        <w:t>款项支付及发票开具</w:t>
      </w:r>
    </w:p>
    <w:p w14:paraId="37310BA2">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1.乙方仅接受银行转账方式支付货款，乙方不接受现金、汇票等其他支付方式，但乙方书面许可的除外。</w:t>
      </w:r>
    </w:p>
    <w:p w14:paraId="585B3D7C">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2.支付时间：</w:t>
      </w:r>
    </w:p>
    <w:p w14:paraId="450BC15C">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56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(1)按年度实际购买“蛋糕券”数量据实结算，</w:t>
      </w:r>
      <w:r>
        <w:rPr>
          <w:rFonts w:hint="eastAsia" w:cs="宋体"/>
          <w:color w:val="000000" w:themeColor="text1"/>
          <w:kern w:val="2"/>
          <w:sz w:val="24"/>
          <w:szCs w:val="24"/>
          <w:lang w:val="en-US" w:eastAsia="zh-CN" w:bidi="ar-SA"/>
          <w14:textFill>
            <w14:solidFill>
              <w14:schemeClr w14:val="tx1"/>
            </w14:solidFill>
          </w14:textFill>
        </w:rPr>
        <w:t>分次结算及支付</w:t>
      </w:r>
      <w:r>
        <w:rPr>
          <w:rFonts w:hint="eastAsia" w:ascii="宋体" w:hAnsi="宋体" w:eastAsia="宋体" w:cs="宋体"/>
          <w:color w:val="000000" w:themeColor="text1"/>
          <w:kern w:val="2"/>
          <w:sz w:val="24"/>
          <w:szCs w:val="24"/>
          <w:lang w:val="en-US" w:eastAsia="zh-CN" w:bidi="ar-SA"/>
          <w14:textFill>
            <w14:solidFill>
              <w14:schemeClr w14:val="tx1"/>
            </w14:solidFill>
          </w14:textFill>
        </w:rPr>
        <w:t>，支付前乙方需开具符合甲方要求的正规增值税普通发票及经甲方确认的书面凭证后，甲方在30天内完成支付。</w:t>
      </w:r>
    </w:p>
    <w:p w14:paraId="4C828799">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(2)甲方上述付款行为是在乙方</w:t>
      </w:r>
      <w:r>
        <w:rPr>
          <w:rFonts w:hint="eastAsia" w:cs="宋体"/>
          <w:color w:val="000000" w:themeColor="text1"/>
          <w:kern w:val="2"/>
          <w:sz w:val="24"/>
          <w:szCs w:val="24"/>
          <w:lang w:val="en-US" w:eastAsia="zh-CN" w:bidi="ar-SA"/>
          <w14:textFill>
            <w14:solidFill>
              <w14:schemeClr w14:val="tx1"/>
            </w14:solidFill>
          </w14:textFill>
        </w:rPr>
        <w:t>完成当次</w:t>
      </w:r>
      <w:r>
        <w:rPr>
          <w:rFonts w:hint="eastAsia" w:ascii="宋体" w:hAnsi="宋体" w:eastAsia="宋体" w:cs="宋体"/>
          <w:color w:val="000000" w:themeColor="text1"/>
          <w:kern w:val="2"/>
          <w:sz w:val="24"/>
          <w:szCs w:val="24"/>
          <w:lang w:val="en-US" w:eastAsia="zh-CN" w:bidi="ar-SA"/>
          <w14:textFill>
            <w14:solidFill>
              <w14:schemeClr w14:val="tx1"/>
            </w14:solidFill>
          </w14:textFill>
        </w:rPr>
        <w:t>合同约定之各项条款，及无任何违约事项后方予进行。</w:t>
      </w:r>
    </w:p>
    <w:p w14:paraId="693946FC">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3.乙方收款账户信息如下：</w:t>
      </w:r>
    </w:p>
    <w:p w14:paraId="0D67FE14">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开户名称：</w:t>
      </w:r>
    </w:p>
    <w:p w14:paraId="4EBE9CA1">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 户 行：</w:t>
      </w:r>
    </w:p>
    <w:p w14:paraId="52921AD4">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开户账户：</w:t>
      </w:r>
    </w:p>
    <w:p w14:paraId="11DD3246">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乙方在送货后10个工作日内向甲方开具合法增值税普通发票。</w:t>
      </w:r>
    </w:p>
    <w:p w14:paraId="4FB59E70">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合同各方一致确认</w:t>
      </w:r>
      <w:r>
        <w:rPr>
          <w:rFonts w:hint="eastAsia" w:ascii="宋体" w:hAnsi="宋体" w:eastAsia="宋体" w:cs="宋体"/>
          <w:sz w:val="24"/>
          <w:szCs w:val="24"/>
          <w:lang w:val="en-US" w:eastAsia="zh-CN"/>
        </w:rPr>
        <w:t>上述的</w:t>
      </w:r>
      <w:r>
        <w:rPr>
          <w:rFonts w:hint="eastAsia" w:ascii="宋体" w:hAnsi="宋体" w:eastAsia="宋体" w:cs="宋体"/>
          <w:sz w:val="24"/>
          <w:szCs w:val="24"/>
        </w:rPr>
        <w:t>通讯地址和联系方式（或本合同中记载的各方通讯地址和联系方式）为各方履行合同、解决合同争议时向接收其他方商业文件信函或司法机关（法院、仲裁机构）诉讼、仲裁文书的地址和联系方式。</w:t>
      </w:r>
    </w:p>
    <w:p w14:paraId="380B8AC9">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通讯地址和联系方式适用期间。上述通讯地址和联系方式适用至本合同履行完毕或争议经过一审、二审至案件执行终结时止，除非各方依下款告知变更。</w:t>
      </w:r>
    </w:p>
    <w:p w14:paraId="254E5656">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通讯地址和联系方式的变更。任何一方通讯地址和联系方式需要变更的，应提前五个工作日向合同其他方和司法机关送交书面变更告知书（若争议已经进入司法程序解决）</w:t>
      </w:r>
      <w:r>
        <w:rPr>
          <w:rFonts w:hint="eastAsia" w:ascii="宋体" w:hAnsi="宋体" w:eastAsia="宋体" w:cs="宋体"/>
          <w:sz w:val="24"/>
          <w:szCs w:val="24"/>
          <w:lang w:val="en-US" w:eastAsia="zh-CN"/>
        </w:rPr>
        <w:t>。</w:t>
      </w:r>
    </w:p>
    <w:p w14:paraId="189FD199">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合同</w:t>
      </w:r>
      <w:r>
        <w:rPr>
          <w:rFonts w:hint="eastAsia" w:ascii="宋体" w:hAnsi="宋体" w:eastAsia="宋体" w:cs="宋体"/>
          <w:sz w:val="24"/>
          <w:szCs w:val="24"/>
          <w:lang w:val="en-US" w:eastAsia="zh-CN"/>
        </w:rPr>
        <w:t>双方</w:t>
      </w:r>
      <w:r>
        <w:rPr>
          <w:rFonts w:hint="eastAsia" w:ascii="宋体" w:hAnsi="宋体" w:eastAsia="宋体" w:cs="宋体"/>
          <w:sz w:val="24"/>
          <w:szCs w:val="24"/>
        </w:rPr>
        <w:t>均承诺：上述确认的通讯地址和联系方式真实有效，如有错误，导致的商业信函和诉讼文书</w:t>
      </w:r>
      <w:r>
        <w:rPr>
          <w:rFonts w:hint="eastAsia" w:ascii="宋体" w:hAnsi="宋体" w:eastAsia="宋体" w:cs="宋体"/>
          <w:sz w:val="24"/>
          <w:szCs w:val="24"/>
          <w:lang w:val="en-US" w:eastAsia="zh-CN"/>
        </w:rPr>
        <w:t>无法</w:t>
      </w:r>
      <w:r>
        <w:rPr>
          <w:rFonts w:hint="eastAsia" w:ascii="宋体" w:hAnsi="宋体" w:eastAsia="宋体" w:cs="宋体"/>
          <w:sz w:val="24"/>
          <w:szCs w:val="24"/>
        </w:rPr>
        <w:t>送达的法律后果由</w:t>
      </w:r>
      <w:r>
        <w:rPr>
          <w:rFonts w:hint="eastAsia" w:ascii="宋体" w:hAnsi="宋体" w:eastAsia="宋体" w:cs="宋体"/>
          <w:sz w:val="24"/>
          <w:szCs w:val="24"/>
          <w:lang w:val="en-US" w:eastAsia="zh-CN"/>
        </w:rPr>
        <w:t>各自</w:t>
      </w:r>
      <w:r>
        <w:rPr>
          <w:rFonts w:hint="eastAsia" w:ascii="宋体" w:hAnsi="宋体" w:eastAsia="宋体" w:cs="宋体"/>
          <w:sz w:val="24"/>
          <w:szCs w:val="24"/>
        </w:rPr>
        <w:t>承担。</w:t>
      </w:r>
    </w:p>
    <w:p w14:paraId="127C0F88">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5B244C45">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kern w:val="2"/>
          <w:sz w:val="24"/>
          <w:szCs w:val="24"/>
          <w:lang w:val="en-US" w:eastAsia="zh-CN" w:bidi="ar-SA"/>
        </w:rPr>
        <w:t>违约责任</w:t>
      </w:r>
    </w:p>
    <w:p w14:paraId="17AE40F9">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乙方未按合同约定供货的，按</w:t>
      </w:r>
      <w:r>
        <w:rPr>
          <w:rFonts w:hint="eastAsia" w:ascii="宋体" w:hAnsi="宋体" w:eastAsia="宋体" w:cs="宋体"/>
          <w:kern w:val="2"/>
          <w:sz w:val="24"/>
          <w:szCs w:val="24"/>
          <w:lang w:val="en-US" w:eastAsia="zh-CN" w:bidi="ar-SA"/>
        </w:rPr>
        <w:t>货款总额</w:t>
      </w:r>
      <w:r>
        <w:rPr>
          <w:rFonts w:hint="eastAsia" w:ascii="宋体" w:hAnsi="宋体" w:eastAsia="宋体" w:cs="宋体"/>
          <w:sz w:val="24"/>
          <w:szCs w:val="24"/>
        </w:rPr>
        <w:t>，每延迟一日承担货款的万分之</w:t>
      </w:r>
      <w:r>
        <w:rPr>
          <w:rFonts w:hint="eastAsia" w:cs="宋体"/>
          <w:sz w:val="24"/>
          <w:szCs w:val="24"/>
          <w:lang w:val="en-US" w:eastAsia="zh-CN"/>
        </w:rPr>
        <w:t>三</w:t>
      </w:r>
      <w:r>
        <w:rPr>
          <w:rFonts w:hint="eastAsia" w:ascii="宋体" w:hAnsi="宋体" w:eastAsia="宋体" w:cs="宋体"/>
          <w:sz w:val="24"/>
          <w:szCs w:val="24"/>
        </w:rPr>
        <w:t>违约金，延迟10日以上的，</w:t>
      </w:r>
      <w:r>
        <w:rPr>
          <w:rFonts w:hint="eastAsia" w:cs="宋体"/>
          <w:sz w:val="24"/>
          <w:szCs w:val="24"/>
          <w:lang w:val="en-US" w:eastAsia="zh-CN"/>
        </w:rPr>
        <w:t>甲方有权解除合同，并要求乙方</w:t>
      </w:r>
      <w:r>
        <w:rPr>
          <w:rFonts w:hint="eastAsia" w:ascii="宋体" w:hAnsi="宋体" w:eastAsia="宋体" w:cs="宋体"/>
          <w:sz w:val="24"/>
          <w:szCs w:val="24"/>
        </w:rPr>
        <w:t>支付</w:t>
      </w:r>
      <w:r>
        <w:rPr>
          <w:rFonts w:hint="eastAsia" w:cs="宋体"/>
          <w:sz w:val="24"/>
          <w:szCs w:val="24"/>
          <w:lang w:val="en-US" w:eastAsia="zh-CN"/>
        </w:rPr>
        <w:t>合同总价20%的</w:t>
      </w:r>
      <w:r>
        <w:rPr>
          <w:rFonts w:hint="eastAsia" w:ascii="宋体" w:hAnsi="宋体" w:eastAsia="宋体" w:cs="宋体"/>
          <w:sz w:val="24"/>
          <w:szCs w:val="24"/>
        </w:rPr>
        <w:t>违约金。</w:t>
      </w:r>
    </w:p>
    <w:p w14:paraId="37BF77D2">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2.如乙方提供的产品出现质量问题，乙方将依据《食品安全法》承担责任；情节严重的，甲方有权单方面解除合同，并要求乙方赔偿给甲方造成的损失。</w:t>
      </w:r>
    </w:p>
    <w:p w14:paraId="354CF377">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eastAsia" w:cs="宋体"/>
          <w:kern w:val="2"/>
          <w:sz w:val="24"/>
          <w:szCs w:val="24"/>
          <w:lang w:val="en-US" w:eastAsia="zh-CN" w:bidi="ar-SA"/>
        </w:rPr>
        <w:t>乙</w:t>
      </w:r>
      <w:r>
        <w:rPr>
          <w:rFonts w:hint="eastAsia" w:ascii="宋体" w:hAnsi="宋体" w:eastAsia="宋体" w:cs="宋体"/>
          <w:kern w:val="2"/>
          <w:sz w:val="24"/>
          <w:szCs w:val="24"/>
          <w:lang w:val="en-US" w:eastAsia="zh-CN" w:bidi="ar-SA"/>
        </w:rPr>
        <w:t>方违反本合同的其他约定，导致协议解除或构成根本违约的，应按本合同总价的</w:t>
      </w: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0%</w:t>
      </w:r>
      <w:r>
        <w:rPr>
          <w:rFonts w:hint="eastAsia" w:cs="宋体"/>
          <w:kern w:val="2"/>
          <w:sz w:val="24"/>
          <w:szCs w:val="24"/>
          <w:lang w:val="en-US" w:eastAsia="zh-CN" w:bidi="ar-SA"/>
        </w:rPr>
        <w:t>向甲</w:t>
      </w:r>
      <w:r>
        <w:rPr>
          <w:rFonts w:hint="eastAsia" w:ascii="宋体" w:hAnsi="宋体" w:eastAsia="宋体" w:cs="宋体"/>
          <w:kern w:val="2"/>
          <w:sz w:val="24"/>
          <w:szCs w:val="24"/>
          <w:lang w:val="en-US" w:eastAsia="zh-CN" w:bidi="ar-SA"/>
        </w:rPr>
        <w:t>方</w:t>
      </w:r>
      <w:r>
        <w:rPr>
          <w:rFonts w:hint="eastAsia" w:cs="宋体"/>
          <w:kern w:val="2"/>
          <w:sz w:val="24"/>
          <w:szCs w:val="24"/>
          <w:lang w:val="en-US" w:eastAsia="zh-CN" w:bidi="ar-SA"/>
        </w:rPr>
        <w:t>支付违约金</w:t>
      </w:r>
      <w:r>
        <w:rPr>
          <w:rFonts w:hint="eastAsia" w:ascii="宋体" w:hAnsi="宋体" w:eastAsia="宋体" w:cs="宋体"/>
          <w:kern w:val="2"/>
          <w:sz w:val="24"/>
          <w:szCs w:val="24"/>
          <w:lang w:val="en-US" w:eastAsia="zh-CN" w:bidi="ar-SA"/>
        </w:rPr>
        <w:t>。</w:t>
      </w:r>
    </w:p>
    <w:p w14:paraId="452F4F08">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4"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约定的所有乙方违约金，甲方均有权在应付乙方款项中直接抵扣，违约金不足以弥补甲方实际损失的，甲方有权向乙方另行追偿（包括但不限于：律师费、调查费、公证费、诉讼费、保全保险费、交通费等）。</w:t>
      </w:r>
    </w:p>
    <w:p w14:paraId="4B98C762">
      <w:pPr>
        <w:keepNext w:val="0"/>
        <w:keepLines w:val="0"/>
        <w:pageBreakBefore w:val="0"/>
        <w:widowControl w:val="0"/>
        <w:numPr>
          <w:ilvl w:val="0"/>
          <w:numId w:val="0"/>
        </w:numPr>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6.甲方付款前乙方应当提供与当期应付款项金额和服务内容一致的税率为  %的增值税专用发票。乙方未提供合法有效发票的，甲方有权延期付款，且不承担任何责任。</w:t>
      </w:r>
    </w:p>
    <w:p w14:paraId="7F10EBB6">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售后服务</w:t>
      </w:r>
    </w:p>
    <w:p w14:paraId="4B733833">
      <w:pPr>
        <w:pStyle w:val="12"/>
        <w:keepNext w:val="0"/>
        <w:keepLines w:val="0"/>
        <w:pageBreakBefore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lang w:val="en-US" w:eastAsia="zh-CN" w:bidi="ar-SA"/>
        </w:rPr>
        <w:t>如持券人在领券后，使用过程中发现券上金额不足面额，反馈到甲方收货人处，甲方则及时联系乙方，双方进行核查，经查证属实的乙方则重新更新券内金额和面额一致的蛋糕券。</w:t>
      </w:r>
    </w:p>
    <w:p w14:paraId="40A7AD2A">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合同争议的解决方式</w:t>
      </w:r>
    </w:p>
    <w:p w14:paraId="1302671C">
      <w:pPr>
        <w:pStyle w:val="15"/>
        <w:numPr>
          <w:ilvl w:val="0"/>
          <w:numId w:val="0"/>
        </w:numPr>
        <w:tabs>
          <w:tab w:val="left" w:pos="683"/>
        </w:tabs>
        <w:autoSpaceDE/>
        <w:autoSpaceDN/>
        <w:spacing w:line="440" w:lineRule="exact"/>
        <w:ind w:right="0" w:rightChars="0" w:firstLine="482" w:firstLineChars="2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由本合同所引起的争议，甲乙双方应本着友好原则，协商解决，协商不成，因合同纠纷提起的诉讼,由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所在地人民法院管辖。</w:t>
      </w:r>
    </w:p>
    <w:p w14:paraId="5179E527">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其他条款约定</w:t>
      </w:r>
    </w:p>
    <w:p w14:paraId="723E0272">
      <w:pPr>
        <w:pStyle w:val="15"/>
        <w:numPr>
          <w:ilvl w:val="0"/>
          <w:numId w:val="0"/>
        </w:numPr>
        <w:tabs>
          <w:tab w:val="left" w:pos="683"/>
        </w:tabs>
        <w:autoSpaceDE/>
        <w:autoSpaceDN/>
        <w:spacing w:before="0" w:line="440" w:lineRule="exact"/>
        <w:ind w:right="0" w:righ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1.甲乙双方必须遵守本合同并执行合同中的各项规定，保证本合同的正常履行。</w:t>
      </w:r>
    </w:p>
    <w:p w14:paraId="439A3EEE">
      <w:pPr>
        <w:pStyle w:val="15"/>
        <w:numPr>
          <w:ilvl w:val="0"/>
          <w:numId w:val="0"/>
        </w:numPr>
        <w:tabs>
          <w:tab w:val="left" w:pos="683"/>
        </w:tabs>
        <w:autoSpaceDE/>
        <w:autoSpaceDN/>
        <w:spacing w:line="440" w:lineRule="exact"/>
        <w:ind w:right="0" w:righ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C38F955">
      <w:pPr>
        <w:pStyle w:val="15"/>
        <w:numPr>
          <w:ilvl w:val="0"/>
          <w:numId w:val="0"/>
        </w:numPr>
        <w:tabs>
          <w:tab w:val="left" w:pos="683"/>
        </w:tabs>
        <w:autoSpaceDE/>
        <w:autoSpaceDN/>
        <w:spacing w:line="44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kern w:val="2"/>
          <w:sz w:val="24"/>
          <w:szCs w:val="24"/>
          <w:lang w:val="en-US" w:eastAsia="zh-CN" w:bidi="ar-SA"/>
        </w:rPr>
        <w:t>如</w:t>
      </w:r>
      <w:r>
        <w:rPr>
          <w:rFonts w:hint="eastAsia" w:ascii="宋体" w:hAnsi="宋体" w:eastAsia="宋体" w:cs="宋体"/>
          <w:sz w:val="24"/>
          <w:szCs w:val="24"/>
        </w:rPr>
        <w:t>因人力不可抗拒的因素而导致延期交货或无法交货时，乙方不负任何责任。</w:t>
      </w:r>
    </w:p>
    <w:p w14:paraId="571C1082">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本合同生效后，各方均应全面履行本合同约定的义务。任何一方不履行或不完全履行本合同约定义务的，经协商不成，应当承担相应的违约责任。</w:t>
      </w:r>
    </w:p>
    <w:p w14:paraId="4E3B7797">
      <w:pPr>
        <w:keepNext w:val="0"/>
        <w:keepLines w:val="0"/>
        <w:pageBreakBefore w:val="0"/>
        <w:widowControl w:val="0"/>
        <w:numPr>
          <w:ilvl w:val="0"/>
          <w:numId w:val="0"/>
        </w:numPr>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贰</w:t>
      </w:r>
      <w:r>
        <w:rPr>
          <w:rFonts w:hint="eastAsia" w:ascii="宋体" w:hAnsi="宋体" w:eastAsia="宋体" w:cs="宋体"/>
          <w:sz w:val="24"/>
          <w:szCs w:val="24"/>
        </w:rPr>
        <w:t>份，甲方</w:t>
      </w:r>
      <w:r>
        <w:rPr>
          <w:rFonts w:hint="eastAsia" w:ascii="宋体" w:hAnsi="宋体" w:eastAsia="宋体" w:cs="宋体"/>
          <w:sz w:val="24"/>
          <w:szCs w:val="24"/>
          <w:lang w:val="en-US" w:eastAsia="zh-CN"/>
        </w:rPr>
        <w:t>壹</w:t>
      </w:r>
      <w:r>
        <w:rPr>
          <w:rFonts w:hint="eastAsia" w:ascii="宋体" w:hAnsi="宋体" w:eastAsia="宋体" w:cs="宋体"/>
          <w:sz w:val="24"/>
          <w:szCs w:val="24"/>
        </w:rPr>
        <w:t>份，乙方</w:t>
      </w:r>
      <w:r>
        <w:rPr>
          <w:rFonts w:hint="eastAsia" w:ascii="宋体" w:hAnsi="宋体" w:eastAsia="宋体" w:cs="宋体"/>
          <w:sz w:val="24"/>
          <w:szCs w:val="24"/>
          <w:lang w:val="en-US" w:eastAsia="zh-CN"/>
        </w:rPr>
        <w:t>壹</w:t>
      </w:r>
      <w:r>
        <w:rPr>
          <w:rFonts w:hint="eastAsia" w:ascii="宋体" w:hAnsi="宋体" w:eastAsia="宋体" w:cs="宋体"/>
          <w:sz w:val="24"/>
          <w:szCs w:val="24"/>
        </w:rPr>
        <w:t>份，由双方签字盖章生效</w:t>
      </w:r>
      <w:r>
        <w:rPr>
          <w:rFonts w:hint="eastAsia" w:ascii="宋体" w:hAnsi="宋体" w:eastAsia="宋体" w:cs="宋体"/>
          <w:sz w:val="24"/>
          <w:szCs w:val="24"/>
          <w:lang w:eastAsia="zh-CN"/>
        </w:rPr>
        <w:t>，</w:t>
      </w:r>
      <w:r>
        <w:rPr>
          <w:rFonts w:hint="eastAsia" w:ascii="宋体" w:hAnsi="宋体" w:eastAsia="宋体" w:cs="宋体"/>
          <w:color w:val="auto"/>
          <w:kern w:val="2"/>
          <w:sz w:val="24"/>
          <w:szCs w:val="24"/>
          <w:lang w:val="en-US" w:eastAsia="zh-CN" w:bidi="ar-SA"/>
        </w:rPr>
        <w:t>每份具有同等效力</w:t>
      </w:r>
      <w:r>
        <w:rPr>
          <w:rFonts w:hint="eastAsia" w:ascii="宋体" w:hAnsi="宋体" w:eastAsia="宋体" w:cs="宋体"/>
          <w:sz w:val="24"/>
          <w:szCs w:val="24"/>
        </w:rPr>
        <w:t>。</w:t>
      </w:r>
    </w:p>
    <w:p w14:paraId="4170BA2C">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6.2026年度工会会员生日慰问品的提取期限(提取方式:实体店面提取)，自当次发放之日起算，</w:t>
      </w:r>
      <w:r>
        <w:rPr>
          <w:rFonts w:hint="eastAsia" w:ascii="宋体" w:hAnsi="宋体" w:eastAsia="宋体" w:cs="宋体"/>
          <w:color w:val="auto"/>
          <w:kern w:val="2"/>
          <w:sz w:val="24"/>
          <w:szCs w:val="24"/>
          <w:u w:val="single"/>
          <w:lang w:val="en-US" w:eastAsia="zh-CN" w:bidi="ar-SA"/>
        </w:rPr>
        <w:t>有效期为</w:t>
      </w:r>
      <w:r>
        <w:rPr>
          <w:rFonts w:hint="eastAsia" w:cs="宋体"/>
          <w:color w:val="auto"/>
          <w:kern w:val="2"/>
          <w:sz w:val="24"/>
          <w:szCs w:val="24"/>
          <w:u w:val="single"/>
          <w:lang w:val="en-US" w:eastAsia="zh-CN" w:bidi="ar-SA"/>
        </w:rPr>
        <w:t>3年</w:t>
      </w:r>
      <w:r>
        <w:rPr>
          <w:rFonts w:hint="eastAsia" w:ascii="宋体" w:hAnsi="宋体" w:eastAsia="宋体" w:cs="宋体"/>
          <w:color w:val="auto"/>
          <w:kern w:val="2"/>
          <w:sz w:val="24"/>
          <w:szCs w:val="24"/>
          <w:lang w:val="en-US" w:eastAsia="zh-CN" w:bidi="ar-SA"/>
        </w:rPr>
        <w:t>。</w:t>
      </w:r>
    </w:p>
    <w:p w14:paraId="63E23E1F">
      <w:pPr>
        <w:pStyle w:val="4"/>
        <w:numPr>
          <w:ilvl w:val="0"/>
          <w:numId w:val="0"/>
        </w:numPr>
        <w:autoSpaceDE/>
        <w:autoSpaceDN/>
        <w:spacing w:before="0" w:line="440" w:lineRule="exact"/>
        <w:ind w:left="214" w:leftChars="0" w:firstLine="240" w:firstLineChars="100"/>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附件</w:t>
      </w:r>
      <w:r>
        <w:rPr>
          <w:rFonts w:hint="eastAsia" w:cs="宋体"/>
          <w:b w:val="0"/>
          <w:color w:val="auto"/>
          <w:kern w:val="2"/>
          <w:sz w:val="24"/>
          <w:szCs w:val="24"/>
          <w:lang w:val="en-US" w:eastAsia="zh-CN" w:bidi="ar-SA"/>
        </w:rPr>
        <w:t>：</w:t>
      </w:r>
      <w:r>
        <w:rPr>
          <w:rFonts w:hint="eastAsia" w:ascii="宋体" w:hAnsi="宋体" w:eastAsia="宋体" w:cs="宋体"/>
          <w:b w:val="0"/>
          <w:color w:val="auto"/>
          <w:kern w:val="2"/>
          <w:sz w:val="24"/>
          <w:szCs w:val="24"/>
          <w:lang w:val="en-US" w:eastAsia="zh-CN" w:bidi="ar-SA"/>
        </w:rPr>
        <w:t>1</w:t>
      </w:r>
      <w:r>
        <w:rPr>
          <w:rFonts w:hint="eastAsia" w:cs="宋体"/>
          <w:b w:val="0"/>
          <w:color w:val="auto"/>
          <w:kern w:val="2"/>
          <w:sz w:val="24"/>
          <w:szCs w:val="24"/>
          <w:lang w:val="en-US" w:eastAsia="zh-CN" w:bidi="ar-SA"/>
        </w:rPr>
        <w:t>.投标</w:t>
      </w:r>
      <w:r>
        <w:rPr>
          <w:rFonts w:hint="eastAsia" w:ascii="宋体" w:hAnsi="宋体" w:eastAsia="宋体" w:cs="宋体"/>
          <w:b w:val="0"/>
          <w:color w:val="auto"/>
          <w:kern w:val="2"/>
          <w:sz w:val="24"/>
          <w:szCs w:val="24"/>
          <w:lang w:val="en-US" w:eastAsia="zh-CN" w:bidi="ar-SA"/>
        </w:rPr>
        <w:t>报价函</w:t>
      </w:r>
    </w:p>
    <w:p w14:paraId="1BC8A82B">
      <w:pPr>
        <w:autoSpaceDE/>
        <w:autoSpaceDN/>
        <w:spacing w:line="440" w:lineRule="exact"/>
        <w:rPr>
          <w:rFonts w:hint="default"/>
          <w:lang w:val="en-US" w:eastAsia="zh-CN"/>
        </w:rPr>
      </w:pPr>
      <w:r>
        <w:rPr>
          <w:rFonts w:hint="eastAsia" w:cs="宋体"/>
          <w:b w:val="0"/>
          <w:color w:val="auto"/>
          <w:kern w:val="2"/>
          <w:sz w:val="24"/>
          <w:szCs w:val="24"/>
          <w:lang w:val="en-US" w:eastAsia="zh-CN" w:bidi="ar-SA"/>
        </w:rPr>
        <w:t xml:space="preserve">          2.中标通知书</w:t>
      </w:r>
    </w:p>
    <w:p w14:paraId="11BB6A7D">
      <w:pPr>
        <w:numPr>
          <w:ilvl w:val="0"/>
          <w:numId w:val="0"/>
        </w:numPr>
        <w:topLinePunct/>
        <w:spacing w:line="500" w:lineRule="exact"/>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（以下无正文）</w:t>
      </w:r>
    </w:p>
    <w:tbl>
      <w:tblPr>
        <w:tblStyle w:val="9"/>
        <w:tblW w:w="8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2"/>
        <w:gridCol w:w="4311"/>
      </w:tblGrid>
      <w:tr w14:paraId="5D4F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top"/>
          </w:tcPr>
          <w:p w14:paraId="34BCD212">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br w:type="page"/>
            </w:r>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tc>
        <w:tc>
          <w:tcPr>
            <w:tcW w:w="4311" w:type="dxa"/>
            <w:tcBorders>
              <w:tl2br w:val="nil"/>
              <w:tr2bl w:val="nil"/>
            </w:tcBorders>
            <w:noWrap w:val="0"/>
            <w:vAlign w:val="top"/>
          </w:tcPr>
          <w:p w14:paraId="5DE54A8D">
            <w:pPr>
              <w:snapToGrid w:val="0"/>
              <w:spacing w:line="400" w:lineRule="exact"/>
              <w:ind w:left="0"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乙方：</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rPr>
              <w:t>（盖章</w:t>
            </w:r>
            <w:r>
              <w:rPr>
                <w:rFonts w:hint="eastAsia" w:ascii="宋体" w:hAnsi="宋体" w:eastAsia="宋体" w:cs="宋体"/>
                <w:sz w:val="24"/>
                <w:szCs w:val="24"/>
                <w:lang w:val="en-US" w:eastAsia="zh-CN"/>
              </w:rPr>
              <w:t>)</w:t>
            </w:r>
          </w:p>
        </w:tc>
      </w:tr>
      <w:tr w14:paraId="0F91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center"/>
          </w:tcPr>
          <w:p w14:paraId="4AE2A7DA">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p>
          <w:p w14:paraId="0E5BE2A6">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或委托代理人：           （签字）</w:t>
            </w:r>
          </w:p>
        </w:tc>
        <w:tc>
          <w:tcPr>
            <w:tcW w:w="4311" w:type="dxa"/>
            <w:tcBorders>
              <w:tl2br w:val="nil"/>
              <w:tr2bl w:val="nil"/>
            </w:tcBorders>
            <w:noWrap w:val="0"/>
            <w:vAlign w:val="center"/>
          </w:tcPr>
          <w:p w14:paraId="16CE7E28">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p>
          <w:p w14:paraId="6E90F1B9">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或委托代理人：           （签字）</w:t>
            </w:r>
          </w:p>
        </w:tc>
      </w:tr>
      <w:tr w14:paraId="27CA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center"/>
          </w:tcPr>
          <w:p w14:paraId="5CA61A2B">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经办人：</w:t>
            </w:r>
          </w:p>
        </w:tc>
        <w:tc>
          <w:tcPr>
            <w:tcW w:w="4311" w:type="dxa"/>
            <w:tcBorders>
              <w:tl2br w:val="nil"/>
              <w:tr2bl w:val="nil"/>
            </w:tcBorders>
            <w:noWrap w:val="0"/>
            <w:vAlign w:val="center"/>
          </w:tcPr>
          <w:p w14:paraId="0EEA6083">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经办人：</w:t>
            </w:r>
          </w:p>
        </w:tc>
      </w:tr>
      <w:tr w14:paraId="3CB9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center"/>
          </w:tcPr>
          <w:p w14:paraId="13C26493">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开户银行：</w:t>
            </w:r>
          </w:p>
        </w:tc>
        <w:tc>
          <w:tcPr>
            <w:tcW w:w="4311" w:type="dxa"/>
            <w:tcBorders>
              <w:tl2br w:val="nil"/>
              <w:tr2bl w:val="nil"/>
            </w:tcBorders>
            <w:noWrap w:val="0"/>
            <w:vAlign w:val="center"/>
          </w:tcPr>
          <w:p w14:paraId="5395D3B5">
            <w:pPr>
              <w:snapToGrid w:val="0"/>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开户银行：</w:t>
            </w:r>
          </w:p>
        </w:tc>
      </w:tr>
      <w:tr w14:paraId="5ABF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center"/>
          </w:tcPr>
          <w:p w14:paraId="4BC8E815">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开户账号：</w:t>
            </w:r>
          </w:p>
        </w:tc>
        <w:tc>
          <w:tcPr>
            <w:tcW w:w="4311" w:type="dxa"/>
            <w:tcBorders>
              <w:tl2br w:val="nil"/>
              <w:tr2bl w:val="nil"/>
            </w:tcBorders>
            <w:noWrap w:val="0"/>
            <w:vAlign w:val="center"/>
          </w:tcPr>
          <w:p w14:paraId="717452EF">
            <w:pPr>
              <w:snapToGrid w:val="0"/>
              <w:spacing w:before="0" w:line="400" w:lineRule="exact"/>
              <w:ind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开户账号：</w:t>
            </w:r>
          </w:p>
        </w:tc>
      </w:tr>
      <w:tr w14:paraId="0004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center"/>
          </w:tcPr>
          <w:p w14:paraId="78B5112F">
            <w:pPr>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tc>
        <w:tc>
          <w:tcPr>
            <w:tcW w:w="4311" w:type="dxa"/>
            <w:tcBorders>
              <w:tl2br w:val="nil"/>
              <w:tr2bl w:val="nil"/>
            </w:tcBorders>
            <w:noWrap w:val="0"/>
            <w:vAlign w:val="center"/>
          </w:tcPr>
          <w:p w14:paraId="39D43094">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tc>
      </w:tr>
      <w:tr w14:paraId="0786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2" w:type="dxa"/>
            <w:tcBorders>
              <w:tl2br w:val="nil"/>
              <w:tr2bl w:val="nil"/>
            </w:tcBorders>
            <w:noWrap w:val="0"/>
            <w:vAlign w:val="center"/>
          </w:tcPr>
          <w:p w14:paraId="2E31D529">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 xml:space="preserve">时间：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c>
          <w:tcPr>
            <w:tcW w:w="4311" w:type="dxa"/>
            <w:tcBorders>
              <w:tl2br w:val="nil"/>
              <w:tr2bl w:val="nil"/>
            </w:tcBorders>
            <w:noWrap w:val="0"/>
            <w:vAlign w:val="center"/>
          </w:tcPr>
          <w:p w14:paraId="7EECCCC9">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 xml:space="preserve">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r>
    </w:tbl>
    <w:p w14:paraId="31F45FE9">
      <w:pPr>
        <w:pStyle w:val="6"/>
        <w:spacing w:line="500" w:lineRule="exact"/>
        <w:jc w:val="center"/>
        <w:rPr>
          <w:rFonts w:hint="eastAsia" w:ascii="宋体" w:hAnsi="宋体" w:eastAsia="宋体" w:cs="宋体"/>
          <w:color w:val="000000" w:themeColor="text1"/>
          <w:spacing w:val="-1"/>
          <w:sz w:val="28"/>
          <w:szCs w:val="28"/>
          <w14:textFill>
            <w14:solidFill>
              <w14:schemeClr w14:val="tx1"/>
            </w14:solidFill>
          </w14:textFill>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1A33607">
      <w:pPr>
        <w:pStyle w:val="5"/>
        <w:adjustRightInd w:val="0"/>
        <w:snapToGrid w:val="0"/>
        <w:spacing w:before="0" w:after="0"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0" w:name="_Toc8799"/>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 xml:space="preserve"> 廉政合同</w:t>
      </w:r>
      <w:bookmarkEnd w:id="0"/>
    </w:p>
    <w:p w14:paraId="5456C7A2">
      <w:pPr>
        <w:spacing w:before="120" w:after="120"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廉政合同</w:t>
      </w:r>
    </w:p>
    <w:p w14:paraId="38CAD535">
      <w:pPr>
        <w:tabs>
          <w:tab w:val="left" w:pos="5220"/>
          <w:tab w:val="left" w:pos="5400"/>
          <w:tab w:val="left" w:pos="5580"/>
        </w:tabs>
        <w:autoSpaceDE w:val="0"/>
        <w:autoSpaceDN w:val="0"/>
        <w:adjustRightInd w:val="0"/>
        <w:spacing w:line="500" w:lineRule="exact"/>
        <w:ind w:firstLine="789" w:firstLineChars="32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根据</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《中华人民共和国招标投标法》</w:t>
      </w:r>
      <w:r>
        <w:rPr>
          <w:rFonts w:hint="eastAsia" w:ascii="宋体" w:hAnsi="宋体" w:eastAsia="宋体" w:cs="宋体"/>
          <w:color w:val="000000" w:themeColor="text1"/>
          <w:kern w:val="0"/>
          <w:sz w:val="24"/>
          <w:szCs w:val="24"/>
          <w:highlight w:val="none"/>
          <w14:textFill>
            <w14:solidFill>
              <w14:schemeClr w14:val="tx1"/>
            </w14:solidFill>
          </w14:textFill>
        </w:rPr>
        <w:t>以及有关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慰问品</w:t>
      </w:r>
      <w:r>
        <w:rPr>
          <w:rFonts w:hint="eastAsia" w:ascii="宋体" w:hAnsi="宋体" w:eastAsia="宋体" w:cs="宋体"/>
          <w:color w:val="000000" w:themeColor="text1"/>
          <w:kern w:val="0"/>
          <w:sz w:val="24"/>
          <w:szCs w:val="24"/>
          <w:highlight w:val="none"/>
          <w14:textFill>
            <w14:solidFill>
              <w14:schemeClr w14:val="tx1"/>
            </w14:solidFill>
          </w14:textFill>
        </w:rPr>
        <w:t>采购、廉政建设的规定，为做好</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慰问品</w:t>
      </w:r>
      <w:r>
        <w:rPr>
          <w:rFonts w:hint="eastAsia" w:ascii="宋体" w:hAnsi="宋体" w:eastAsia="宋体" w:cs="宋体"/>
          <w:color w:val="000000" w:themeColor="text1"/>
          <w:kern w:val="0"/>
          <w:sz w:val="24"/>
          <w:szCs w:val="24"/>
          <w:highlight w:val="none"/>
          <w14:textFill>
            <w14:solidFill>
              <w14:schemeClr w14:val="tx1"/>
            </w14:solidFill>
          </w14:textFill>
        </w:rPr>
        <w:t>采购中的党风廉政建设，保证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w:t>
      </w:r>
      <w:r>
        <w:rPr>
          <w:rFonts w:hint="eastAsia" w:ascii="宋体" w:hAnsi="宋体" w:eastAsia="宋体" w:cs="宋体"/>
          <w:color w:val="000000" w:themeColor="text1"/>
          <w:kern w:val="0"/>
          <w:sz w:val="24"/>
          <w:szCs w:val="24"/>
          <w:highlight w:val="none"/>
          <w14:textFill>
            <w14:solidFill>
              <w14:schemeClr w14:val="tx1"/>
            </w14:solidFill>
          </w14:textFill>
        </w:rPr>
        <w:t>购高效优质，保证采购资金的安全和有效使用，</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（项目名称）的项目法人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（项目法人名称，以下简称“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”）与该项目的</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（以下简称“供应商”），特订立如下合同。</w:t>
      </w:r>
    </w:p>
    <w:p w14:paraId="23A16FA8">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1" w:name="_Toc28008"/>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1.甲方和供应商双方的权利和义务</w:t>
      </w:r>
      <w:bookmarkEnd w:id="1"/>
    </w:p>
    <w:p w14:paraId="3907DB17">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（1）严格遵守党的政策规定和国家有关法律法规的有关规定。</w:t>
      </w:r>
    </w:p>
    <w:p w14:paraId="0C6A8C28">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（2）严格执行</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（项目名称）第</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标段合同文件，自觉按合同办事。</w:t>
      </w:r>
    </w:p>
    <w:p w14:paraId="4BE1631B">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（3）双方的业务活动坚持公开、公正、诚信、透明的原则（法律认定的商业秘密和合同文件另有规定除外），不得损害国家和集体利益，不得违反相关规章制度。</w:t>
      </w:r>
    </w:p>
    <w:p w14:paraId="72D761FE">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（4）建立健全廉政制度，开展廉政教育，设立廉政告示牌，公布举报电话，监督并认真查处违法违纪行为。</w:t>
      </w:r>
    </w:p>
    <w:p w14:paraId="1F48BEC1">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（5）发现对方在业务活动中有违反廉政规定的行为，有及时提醒对方纠正的权利和义务。</w:t>
      </w:r>
    </w:p>
    <w:p w14:paraId="12BB9DFA">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（6）发现对方严重违反本合同义务条款的行为，有向其上级有关部门举报、建议给予处理并要求告知处理结果的权利。</w:t>
      </w:r>
    </w:p>
    <w:p w14:paraId="284E4094">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2" w:name="_Toc7486"/>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2.甲方的义务</w:t>
      </w:r>
      <w:bookmarkEnd w:id="2"/>
    </w:p>
    <w:p w14:paraId="2FF35236">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及其工作人员不得索要或接受供应商的礼金、有价证券和贵重物品，不得让供应商报销任何应由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工作人员个人支付的费用等。</w:t>
      </w:r>
    </w:p>
    <w:p w14:paraId="0678FF71">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工作人员不得参加供应商安排的超标准宴请和娱乐活动；不得接受供应商提供的通信工具、交通工具和高档办公用品等。</w:t>
      </w:r>
    </w:p>
    <w:p w14:paraId="67803D17">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及其工作人员不得要求或者接受供应商为其住房装修、婚丧嫁娶活动、配偶子女的工作安排以及出国出境、旅游等提供方便等。</w:t>
      </w:r>
    </w:p>
    <w:p w14:paraId="053A8E7B">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工作人员及其配偶、子女、亲属不得从事与本合同有关的采购等活动。</w:t>
      </w:r>
    </w:p>
    <w:p w14:paraId="783DF3A4">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工作人员要秉公办事，不准营私舞弊，不准利用职权从事各种个人有偿中介活动等行为。</w:t>
      </w:r>
    </w:p>
    <w:p w14:paraId="20CF6A4C">
      <w:pPr>
        <w:autoSpaceDE/>
        <w:autoSpaceDN/>
        <w:spacing w:line="500" w:lineRule="exact"/>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bookmarkStart w:id="3" w:name="_Toc13595"/>
      <w:r>
        <w:rPr>
          <w:rFonts w:hint="eastAsia" w:ascii="宋体" w:hAnsi="宋体" w:eastAsia="宋体" w:cs="宋体"/>
          <w:color w:val="000000" w:themeColor="text1"/>
          <w:kern w:val="0"/>
          <w:sz w:val="24"/>
          <w:szCs w:val="24"/>
          <w:highlight w:val="none"/>
          <w14:textFill>
            <w14:solidFill>
              <w14:schemeClr w14:val="tx1"/>
            </w14:solidFill>
          </w14:textFill>
        </w:rPr>
        <w:t>3.供应商的义务</w:t>
      </w:r>
      <w:bookmarkEnd w:id="3"/>
    </w:p>
    <w:p w14:paraId="1F6C4DBB">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（1）供应商不得以任何理由向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及其工作人员行贿或馈赠礼金、有价证券、贵重礼品。</w:t>
      </w:r>
    </w:p>
    <w:p w14:paraId="022118F3">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（2）供应商不得以任何名义为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及其工作人员报销应由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单位或个人支付的任何费用。</w:t>
      </w:r>
    </w:p>
    <w:p w14:paraId="058F8031">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（3）供应商不得以任何理由安排</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工作人员参加超标准宴请及娱乐活动。</w:t>
      </w:r>
    </w:p>
    <w:p w14:paraId="796911BD">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（4）供应商不得为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单位和个人购置或提供通信工具、交通工具和高档办公用品等。</w:t>
      </w:r>
    </w:p>
    <w:p w14:paraId="65C40AF0">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4" w:name="_Toc10460"/>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4.违约责任</w:t>
      </w:r>
      <w:bookmarkEnd w:id="4"/>
    </w:p>
    <w:p w14:paraId="23E1EA8A">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及其工作人员违反本合同第1、2条，按管理权限，依据有关规定给予党纪、政纪或组织处理；涉嫌犯罪的，移交司法机关追究刑事责任；给供应商单位造成经济损失的，应予以赔偿。</w:t>
      </w:r>
    </w:p>
    <w:p w14:paraId="6EE0EBC8">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（2）供应商及其工作人员违反本合同第1、3条，按管理权限，依据有关规定给予党纪、政纪或组织处理；给</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单位造成经济损失的，应予以赔偿；</w:t>
      </w:r>
    </w:p>
    <w:p w14:paraId="1ECF85B6">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 双方约定：本合同由双方或双方上级单位的纪检监察部门负责监督执行。由甲方或甲方上级单位的纪检监察部门约请供应商或供应商上级单位纪检监察部门对本合同执行情况进行检查，提出在本合同规定范围内的裁定意见。</w:t>
      </w:r>
    </w:p>
    <w:p w14:paraId="7D37EB6A">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5" w:name="_Toc18243"/>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 本合同有效期为合同双方签署之日起至合同失效日止。</w:t>
      </w:r>
      <w:bookmarkEnd w:id="5"/>
    </w:p>
    <w:p w14:paraId="3827296C">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7. 本合同作为（招标项目名称）第标段合同的附件，与合同具有同等的法律效力，经合同双方签署后立即生效。</w:t>
      </w:r>
    </w:p>
    <w:p w14:paraId="1E1F6F8A">
      <w:pPr>
        <w:autoSpaceDE/>
        <w:autoSpaceDN/>
        <w:spacing w:line="500" w:lineRule="exact"/>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 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份，由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和供应商各执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份，送交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和供应商的监督单位各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份。</w:t>
      </w:r>
    </w:p>
    <w:p w14:paraId="73042717">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（以下无正文）</w:t>
      </w:r>
    </w:p>
    <w:p w14:paraId="18FA8FDF">
      <w:pPr>
        <w:pStyle w:val="2"/>
        <w:spacing w:line="5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D76F897">
      <w:pPr>
        <w:pStyle w:val="2"/>
        <w:spacing w:line="5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7C1F191">
      <w:pPr>
        <w:pStyle w:val="2"/>
        <w:spacing w:line="5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651CAE90">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p>
    <w:p w14:paraId="0E2D4161">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     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w:t>
      </w:r>
    </w:p>
    <w:p w14:paraId="46DE69F2">
      <w:pPr>
        <w:spacing w:line="500" w:lineRule="exact"/>
        <w:ind w:firstLine="8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46F96F3B">
      <w:pPr>
        <w:pStyle w:val="5"/>
        <w:adjustRightInd w:val="0"/>
        <w:snapToGrid w:val="0"/>
        <w:spacing w:before="0" w:after="0"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6" w:name="_Toc15358"/>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cs="宋体"/>
          <w:color w:val="000000" w:themeColor="text1"/>
          <w:sz w:val="24"/>
          <w:szCs w:val="24"/>
          <w:highlight w:val="none"/>
          <w:lang w:val="en-US" w:eastAsia="zh-CN"/>
          <w14:textFill>
            <w14:solidFill>
              <w14:schemeClr w14:val="tx1"/>
            </w14:solidFill>
          </w14:textFill>
        </w:rPr>
        <w:t>食品</w:t>
      </w:r>
      <w:r>
        <w:rPr>
          <w:rFonts w:hint="eastAsia" w:ascii="宋体" w:hAnsi="宋体" w:eastAsia="宋体" w:cs="宋体"/>
          <w:color w:val="000000" w:themeColor="text1"/>
          <w:sz w:val="24"/>
          <w:szCs w:val="24"/>
          <w:highlight w:val="none"/>
          <w14:textFill>
            <w14:solidFill>
              <w14:schemeClr w14:val="tx1"/>
            </w14:solidFill>
          </w14:textFill>
        </w:rPr>
        <w:t>安全生产合同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适用于包2</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6"/>
    </w:p>
    <w:p w14:paraId="1A42844E">
      <w:pPr>
        <w:spacing w:before="120" w:after="120" w:line="500" w:lineRule="exact"/>
        <w:ind w:firstLine="602"/>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食品</w:t>
      </w:r>
      <w:r>
        <w:rPr>
          <w:rFonts w:hint="eastAsia" w:ascii="宋体" w:hAnsi="宋体" w:eastAsia="宋体" w:cs="宋体"/>
          <w:b/>
          <w:color w:val="000000" w:themeColor="text1"/>
          <w:sz w:val="24"/>
          <w:szCs w:val="24"/>
          <w:highlight w:val="none"/>
          <w14:textFill>
            <w14:solidFill>
              <w14:schemeClr w14:val="tx1"/>
            </w14:solidFill>
          </w14:textFill>
        </w:rPr>
        <w:t>安全生产合同</w:t>
      </w:r>
    </w:p>
    <w:p w14:paraId="6B2C54DA">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（招标项目名称）合同的实施过程中创造安全、高效的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配送</w:t>
      </w:r>
      <w:r>
        <w:rPr>
          <w:rFonts w:hint="eastAsia" w:ascii="宋体" w:hAnsi="宋体" w:eastAsia="宋体" w:cs="宋体"/>
          <w:color w:val="000000" w:themeColor="text1"/>
          <w:sz w:val="24"/>
          <w:szCs w:val="24"/>
          <w:highlight w:val="none"/>
          <w14:textFill>
            <w14:solidFill>
              <w14:schemeClr w14:val="tx1"/>
            </w14:solidFill>
          </w14:textFill>
        </w:rPr>
        <w:t>环境，切实搞好本项目的安全管理工作，本项目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名称，以下简称“</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”）与供应商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（供应商名称，以下简称“供应商”）特此签订安全生产合同：</w:t>
      </w:r>
    </w:p>
    <w:p w14:paraId="185ECB79">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7" w:name="_Toc30508"/>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1.甲方职责</w:t>
      </w:r>
      <w:bookmarkEnd w:id="7"/>
    </w:p>
    <w:p w14:paraId="0848AC7C">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（1）严格遵守国家有关安全生产的法律法规，认真执行食材供应合同中的有关安全要求。</w:t>
      </w:r>
    </w:p>
    <w:p w14:paraId="39FD6E49">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（2）按照“安全第一、预防为主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综合治理</w:t>
      </w:r>
      <w:r>
        <w:rPr>
          <w:rFonts w:hint="eastAsia" w:ascii="宋体" w:hAnsi="宋体" w:eastAsia="宋体" w:cs="宋体"/>
          <w:color w:val="000000" w:themeColor="text1"/>
          <w:sz w:val="24"/>
          <w:szCs w:val="24"/>
          <w:highlight w:val="none"/>
          <w14:textFill>
            <w14:solidFill>
              <w14:schemeClr w14:val="tx1"/>
            </w14:solidFill>
          </w14:textFill>
        </w:rPr>
        <w:t>”和坚持“管生产必须管安全”的原则进行安全生产管理，做到生产与安全工作同时计划、布置、检查、总结和评比。</w:t>
      </w:r>
    </w:p>
    <w:p w14:paraId="10F449F2">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（3）组织对供应商食材供应安全生产检查，监督供应商及时处理发现的各种食品安全隐患。</w:t>
      </w:r>
    </w:p>
    <w:p w14:paraId="1D9948F4">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8" w:name="_Toc7670"/>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2.供应商职责</w:t>
      </w:r>
      <w:bookmarkEnd w:id="8"/>
    </w:p>
    <w:p w14:paraId="7D3E42BA">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（1）严格遵守《中华人民共和国安全生产法》等国家有关安全生产的法律法规。认真执行合同中的有关安全要求。</w:t>
      </w:r>
    </w:p>
    <w:p w14:paraId="32D17363">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项目管理人员、配送人员和驾驶员，必须熟悉和遵守本合同的各项规定，做到生产与安全工作同时计划、布置、检查、总结和评比。</w:t>
      </w:r>
    </w:p>
    <w:p w14:paraId="3CCF21B1">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（3）建立健全安全生产责任制。从派往项目负责人到配送人员、驾驶员的安全生产管理工作必须做好，—环不漏；食品安全监督，人人有责。项目负责人是食品安全的第一责任人。</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有权按有关规定发布指令，并采取保护性措施防止事故发生。</w:t>
      </w:r>
    </w:p>
    <w:p w14:paraId="427B8F86">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（4）供应商在任何时候都应采取各种合理的食品安全预防措施，防止其员工发生任何违法、违禁、暴力或妨碍治安的行为。</w:t>
      </w:r>
    </w:p>
    <w:p w14:paraId="05385776">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（5）对于易燃易爆的材料除应专门妥善保管之外，还应配备有足够的消防设施，所有项目工作人员都应熟悉消防设备的性能和使用方法。</w:t>
      </w:r>
    </w:p>
    <w:p w14:paraId="0CF1D25D">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（6）供应商必须按照项目特点，组织制定本项目中的配送安全事故应急预案；承担配送途中全部安全责</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任及配送食材引发的食品安全事故责任。</w:t>
      </w:r>
    </w:p>
    <w:p w14:paraId="3807AB2D">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9" w:name="_Toc29513"/>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3.违约责任</w:t>
      </w:r>
      <w:bookmarkEnd w:id="9"/>
    </w:p>
    <w:p w14:paraId="76BAD511">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如因甲方或供应商违约造成安全事故，将依法追究责任。</w:t>
      </w:r>
    </w:p>
    <w:p w14:paraId="57E794B8">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4.本合同由双方法定代表人或其授权的代理人签署并加盖单位章后生效。</w:t>
      </w:r>
    </w:p>
    <w:p w14:paraId="4DC6E5A6">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5.本合同一式   份，正本   份，副本   份，甲方执正本   份，副本   份，供应商执正本   份，副本   份，当正本与副本的内容不一致时，以正本为准。</w:t>
      </w:r>
    </w:p>
    <w:p w14:paraId="32B8E8A0">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（以下无正文）</w:t>
      </w:r>
    </w:p>
    <w:p w14:paraId="000C33E1">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p>
    <w:p w14:paraId="42B2B051">
      <w:pPr>
        <w:adjustRightInd w:val="0"/>
        <w:snapToGrid w:val="0"/>
        <w:spacing w:line="50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p>
    <w:p w14:paraId="1BACCC34">
      <w:pPr>
        <w:tabs>
          <w:tab w:val="left" w:pos="5010"/>
        </w:tabs>
        <w:adjustRightInd w:val="0"/>
        <w:snapToGrid w:val="0"/>
        <w:spacing w:line="500" w:lineRule="exact"/>
        <w:ind w:left="-209" w:leftChars="-95"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7D2E454">
      <w:pPr>
        <w:tabs>
          <w:tab w:val="left" w:pos="5010"/>
        </w:tabs>
        <w:adjustRightInd w:val="0"/>
        <w:snapToGrid w:val="0"/>
        <w:spacing w:line="500" w:lineRule="exact"/>
        <w:ind w:left="-209" w:leftChars="-95"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或其授权代理人：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926BD53">
      <w:pPr>
        <w:adjustRightInd w:val="0"/>
        <w:snapToGrid w:val="0"/>
        <w:spacing w:line="500" w:lineRule="exact"/>
        <w:ind w:left="-209" w:leftChars="-95" w:firstLine="420"/>
        <w:rPr>
          <w:rFonts w:hint="eastAsia" w:ascii="宋体" w:hAnsi="宋体" w:eastAsia="宋体" w:cs="宋体"/>
          <w:color w:val="000000" w:themeColor="text1"/>
          <w:sz w:val="24"/>
          <w:szCs w:val="24"/>
          <w:highlight w:val="none"/>
          <w14:textFill>
            <w14:solidFill>
              <w14:schemeClr w14:val="tx1"/>
            </w14:solidFill>
          </w14:textFill>
        </w:rPr>
      </w:pPr>
    </w:p>
    <w:p w14:paraId="19AADDB0">
      <w:r>
        <w:rPr>
          <w:rFonts w:hint="eastAsia" w:ascii="宋体" w:hAnsi="宋体" w:eastAsia="宋体" w:cs="宋体"/>
          <w:color w:val="000000" w:themeColor="text1"/>
          <w:sz w:val="24"/>
          <w:szCs w:val="24"/>
          <w:highlight w:val="none"/>
          <w14:textFill>
            <w14:solidFill>
              <w14:schemeClr w14:val="tx1"/>
            </w14:solidFill>
          </w14:textFill>
        </w:rPr>
        <w:t xml:space="preserve">             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C030E">
    <w:pPr>
      <w:spacing w:line="184" w:lineRule="auto"/>
      <w:ind w:left="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FD54F">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AFD54F">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5BB8D">
    <w:pPr>
      <w:spacing w:line="105"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3606"/>
    <w:multiLevelType w:val="singleLevel"/>
    <w:tmpl w:val="804C3606"/>
    <w:lvl w:ilvl="0" w:tentative="0">
      <w:start w:val="3"/>
      <w:numFmt w:val="decimal"/>
      <w:lvlText w:val="%1."/>
      <w:lvlJc w:val="left"/>
      <w:pPr>
        <w:tabs>
          <w:tab w:val="left" w:pos="312"/>
        </w:tabs>
      </w:pPr>
    </w:lvl>
  </w:abstractNum>
  <w:abstractNum w:abstractNumId="1">
    <w:nsid w:val="7ABBB700"/>
    <w:multiLevelType w:val="singleLevel"/>
    <w:tmpl w:val="7ABBB700"/>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E467B"/>
    <w:rsid w:val="0E0B3BF3"/>
    <w:rsid w:val="128127AE"/>
    <w:rsid w:val="179B7A92"/>
    <w:rsid w:val="258113DB"/>
    <w:rsid w:val="467806C6"/>
    <w:rsid w:val="4D6973BF"/>
    <w:rsid w:val="5B1622AE"/>
    <w:rsid w:val="61DF3FED"/>
    <w:rsid w:val="6E3D27C7"/>
    <w:rsid w:val="7E35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7"/>
      <w:ind w:left="352"/>
      <w:outlineLvl w:val="0"/>
    </w:pPr>
    <w:rPr>
      <w:b/>
      <w:bCs/>
      <w:sz w:val="44"/>
      <w:szCs w:val="44"/>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paragraph" w:styleId="3">
    <w:name w:val="Body Text Indent"/>
    <w:basedOn w:val="1"/>
    <w:qFormat/>
    <w:uiPriority w:val="0"/>
    <w:pPr>
      <w:spacing w:after="120"/>
      <w:ind w:left="420" w:leftChars="200"/>
    </w:pPr>
  </w:style>
  <w:style w:type="paragraph" w:styleId="6">
    <w:name w:val="Body Text"/>
    <w:basedOn w:val="1"/>
    <w:qFormat/>
    <w:uiPriority w:val="1"/>
    <w:rPr>
      <w:sz w:val="21"/>
      <w:szCs w:val="21"/>
    </w:rPr>
  </w:style>
  <w:style w:type="paragraph" w:styleId="7">
    <w:name w:val="footer"/>
    <w:basedOn w:val="1"/>
    <w:qFormat/>
    <w:uiPriority w:val="0"/>
    <w:pPr>
      <w:tabs>
        <w:tab w:val="center" w:pos="4153"/>
        <w:tab w:val="right" w:pos="8306"/>
      </w:tabs>
      <w:snapToGrid w:val="0"/>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unhideWhenUsed/>
    <w:qFormat/>
    <w:uiPriority w:val="2"/>
    <w:tblPr>
      <w:tblCellMar>
        <w:top w:w="0" w:type="dxa"/>
        <w:left w:w="0" w:type="dxa"/>
        <w:bottom w:w="0" w:type="dxa"/>
        <w:right w:w="0" w:type="dxa"/>
      </w:tblCellMar>
    </w:tblPr>
  </w:style>
  <w:style w:type="paragraph" w:customStyle="1" w:styleId="12">
    <w:name w:val="Default"/>
    <w:basedOn w:val="13"/>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3">
    <w:name w:val="正文_1"/>
    <w:basedOn w:val="14"/>
    <w:qFormat/>
    <w:uiPriority w:val="99"/>
    <w:rPr>
      <w:rFonts w:ascii="Calibri" w:hAnsi="Calibri"/>
      <w:sz w:val="21"/>
    </w:rPr>
  </w:style>
  <w:style w:type="paragraph" w:customStyle="1" w:styleId="14">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styleId="15">
    <w:name w:val="List Paragraph"/>
    <w:basedOn w:val="1"/>
    <w:autoRedefine/>
    <w:qFormat/>
    <w:uiPriority w:val="1"/>
    <w:pPr>
      <w:spacing w:before="109"/>
      <w:ind w:left="117" w:firstLine="44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5664</Words>
  <Characters>5757</Characters>
  <Lines>0</Lines>
  <Paragraphs>0</Paragraphs>
  <TotalTime>0</TotalTime>
  <ScaleCrop>false</ScaleCrop>
  <LinksUpToDate>false</LinksUpToDate>
  <CharactersWithSpaces>6255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2026-03-19T06:58:00Z</dcterms:created>
  <dc:creator>qifei</dc:creator>
  <cp:lastModifiedBy>晴朵</cp:lastModifiedBy>
  <dcterms:modified xsi:type="dcterms:W3CDTF">2026-03-20T08:16:47Z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eyJoZGlkIjoiYzAwODZhZjZjY2Y2OTdhNGFlMjg1YTg0NjA1ZjE2Y2MiLCJ1c2VySWQiOiIzNTU3MTU2NzkifQ==</vt:lpwstr>
  </property>
  <property fmtid="{D5CDD505-2E9C-101B-9397-08002B2CF9AE}" pid="4" name="ICV">
    <vt:lpwstr>BC076EE765DD480ABA66AEE879D1DBCD_12</vt:lpwstr>
  </property>
</Properties>
</file>