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F34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r>
        <w:rPr>
          <w:rFonts w:hint="eastAsia" w:ascii="黑体" w:hAnsi="黑体" w:eastAsia="黑体" w:cs="黑体"/>
          <w:color w:val="auto"/>
          <w:sz w:val="28"/>
          <w:szCs w:val="36"/>
          <w:lang w:val="en-US" w:eastAsia="zh-CN"/>
        </w:rPr>
        <w:t>合同编号：</w:t>
      </w:r>
    </w:p>
    <w:p w14:paraId="029C24F8">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7191BB5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7F443EB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76E0C20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黑体" w:hAnsi="黑体" w:eastAsia="黑体" w:cs="黑体"/>
          <w:sz w:val="28"/>
          <w:szCs w:val="36"/>
          <w:lang w:val="en-US" w:eastAsia="zh-CN"/>
        </w:rPr>
      </w:pPr>
    </w:p>
    <w:p w14:paraId="0A4BF67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仿宋" w:hAnsi="仿宋" w:eastAsia="仿宋" w:cs="仿宋"/>
          <w:b/>
          <w:bCs/>
          <w:sz w:val="52"/>
          <w:szCs w:val="52"/>
          <w:lang w:val="en-US" w:eastAsia="zh-CN"/>
        </w:rPr>
      </w:pPr>
    </w:p>
    <w:p w14:paraId="72EA5823">
      <w:pPr>
        <w:keepNext w:val="0"/>
        <w:keepLines w:val="0"/>
        <w:autoSpaceDE/>
        <w:autoSpaceDN/>
        <w:spacing w:line="300" w:lineRule="auto"/>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2026年度法定节日慰问品服务</w:t>
      </w:r>
    </w:p>
    <w:p w14:paraId="32B13B0A">
      <w:pPr>
        <w:keepNext w:val="0"/>
        <w:keepLines w:val="0"/>
        <w:autoSpaceDE/>
        <w:autoSpaceDN/>
        <w:spacing w:line="300" w:lineRule="auto"/>
        <w:jc w:val="center"/>
        <w:rPr>
          <w:rFonts w:hint="default" w:ascii="仿宋" w:hAnsi="仿宋" w:eastAsia="仿宋" w:cs="仿宋"/>
          <w:b/>
          <w:bCs/>
          <w:sz w:val="52"/>
          <w:szCs w:val="52"/>
          <w:lang w:val="en-US" w:eastAsia="zh-CN"/>
        </w:rPr>
      </w:pPr>
      <w:r>
        <w:rPr>
          <w:rFonts w:hint="eastAsia" w:ascii="仿宋" w:hAnsi="仿宋" w:eastAsia="仿宋" w:cs="仿宋"/>
          <w:b/>
          <w:bCs/>
          <w:sz w:val="52"/>
          <w:szCs w:val="52"/>
          <w:lang w:val="en-US" w:eastAsia="zh-CN"/>
        </w:rPr>
        <w:t>采购合同(第三次）</w:t>
      </w:r>
    </w:p>
    <w:p w14:paraId="309C0211">
      <w:pPr>
        <w:widowControl/>
        <w:shd w:val="clear" w:color="auto" w:fill="FFFFFF"/>
        <w:spacing w:line="600" w:lineRule="exact"/>
        <w:jc w:val="center"/>
        <w:outlineLvl w:val="9"/>
        <w:rPr>
          <w:rFonts w:hint="eastAsia" w:ascii="微软雅黑" w:hAnsi="宋体" w:eastAsia="微软雅黑" w:cs="宋体"/>
          <w:bCs/>
          <w:color w:val="444444"/>
          <w:spacing w:val="-11"/>
          <w:kern w:val="0"/>
          <w:sz w:val="44"/>
          <w:szCs w:val="44"/>
        </w:rPr>
      </w:pPr>
    </w:p>
    <w:p w14:paraId="308F5CE3">
      <w:pPr>
        <w:keepNext w:val="0"/>
        <w:keepLines w:val="0"/>
        <w:autoSpaceDE/>
        <w:autoSpaceDN/>
        <w:spacing w:line="300" w:lineRule="auto"/>
        <w:jc w:val="center"/>
        <w:rPr>
          <w:rFonts w:hint="eastAsia" w:ascii="仿宋" w:hAnsi="仿宋" w:eastAsia="仿宋" w:cs="仿宋"/>
          <w:b/>
          <w:bCs/>
          <w:sz w:val="52"/>
          <w:szCs w:val="52"/>
          <w:lang w:val="en-US" w:eastAsia="zh-CN"/>
        </w:rPr>
      </w:pPr>
    </w:p>
    <w:p w14:paraId="30824A2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sz w:val="28"/>
          <w:szCs w:val="36"/>
          <w:lang w:val="en-US" w:eastAsia="zh-CN"/>
        </w:rPr>
      </w:pPr>
    </w:p>
    <w:p w14:paraId="3B65183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1B99C28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21CB2A98">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2CE7550E">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6CE9E6E3">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0AAF388B">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p w14:paraId="695957D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黑体" w:hAnsi="黑体" w:eastAsia="黑体" w:cs="黑体"/>
          <w:sz w:val="28"/>
          <w:szCs w:val="36"/>
          <w:lang w:val="en-US" w:eastAsia="zh-CN"/>
        </w:rPr>
      </w:pPr>
    </w:p>
    <w:tbl>
      <w:tblPr>
        <w:tblStyle w:val="9"/>
        <w:tblW w:w="857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333"/>
      </w:tblGrid>
      <w:tr w14:paraId="0C4ACBB6">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vAlign w:val="center"/>
          </w:tcPr>
          <w:p w14:paraId="30147493">
            <w:pPr>
              <w:keepNext w:val="0"/>
              <w:keepLines w:val="0"/>
              <w:pageBreakBefore w:val="0"/>
              <w:widowControl w:val="0"/>
              <w:kinsoku/>
              <w:wordWrap/>
              <w:overflowPunct/>
              <w:topLinePunct w:val="0"/>
              <w:autoSpaceDE/>
              <w:autoSpaceDN/>
              <w:bidi w:val="0"/>
              <w:adjustRightInd w:val="0"/>
              <w:snapToGrid w:val="0"/>
              <w:spacing w:line="240" w:lineRule="auto"/>
              <w:ind w:left="934" w:hanging="992" w:hangingChars="310"/>
              <w:jc w:val="center"/>
              <w:textAlignment w:val="auto"/>
              <w:outlineLvl w:val="9"/>
              <w:rPr>
                <w:rFonts w:hint="eastAsia" w:ascii="楷体" w:hAnsi="楷体" w:eastAsia="楷体" w:cs="楷体"/>
                <w:b w:val="0"/>
                <w:bCs/>
                <w:sz w:val="32"/>
                <w:szCs w:val="32"/>
                <w:u w:val="single"/>
              </w:rPr>
            </w:pPr>
            <w:r>
              <w:rPr>
                <w:rFonts w:hint="eastAsia" w:ascii="楷体" w:hAnsi="楷体" w:eastAsia="楷体" w:cs="楷体"/>
                <w:b w:val="0"/>
                <w:bCs/>
                <w:sz w:val="32"/>
                <w:szCs w:val="32"/>
              </w:rPr>
              <w:t>买方（甲方）：</w:t>
            </w:r>
          </w:p>
        </w:tc>
        <w:tc>
          <w:tcPr>
            <w:tcW w:w="6333" w:type="dxa"/>
            <w:tcBorders>
              <w:left w:val="nil"/>
              <w:bottom w:val="single" w:color="auto" w:sz="4" w:space="0"/>
              <w:right w:val="nil"/>
            </w:tcBorders>
            <w:vAlign w:val="center"/>
          </w:tcPr>
          <w:p w14:paraId="73FD78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楷体" w:hAnsi="楷体" w:eastAsia="楷体" w:cs="楷体"/>
                <w:b w:val="0"/>
                <w:bCs/>
                <w:sz w:val="32"/>
                <w:szCs w:val="32"/>
                <w:lang w:val="en-US" w:eastAsia="zh-CN"/>
              </w:rPr>
            </w:pPr>
          </w:p>
        </w:tc>
      </w:tr>
      <w:tr w14:paraId="2C5D36A9">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vAlign w:val="center"/>
          </w:tcPr>
          <w:p w14:paraId="5E8913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卖方（乙方）：</w:t>
            </w:r>
          </w:p>
        </w:tc>
        <w:tc>
          <w:tcPr>
            <w:tcW w:w="6333" w:type="dxa"/>
            <w:tcBorders>
              <w:top w:val="single" w:color="auto" w:sz="4" w:space="0"/>
              <w:left w:val="nil"/>
              <w:bottom w:val="single" w:color="auto" w:sz="4" w:space="0"/>
              <w:right w:val="nil"/>
            </w:tcBorders>
            <w:vAlign w:val="center"/>
          </w:tcPr>
          <w:p w14:paraId="7F760B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楷体" w:hAnsi="楷体" w:eastAsia="楷体" w:cs="楷体"/>
                <w:b w:val="0"/>
                <w:bCs/>
                <w:sz w:val="32"/>
                <w:szCs w:val="32"/>
                <w:lang w:eastAsia="zh-CN"/>
              </w:rPr>
            </w:pPr>
          </w:p>
        </w:tc>
      </w:tr>
    </w:tbl>
    <w:p w14:paraId="36D56B81">
      <w:pPr>
        <w:spacing w:line="240" w:lineRule="auto"/>
        <w:jc w:val="center"/>
        <w:outlineLvl w:val="9"/>
        <w:rPr>
          <w:rFonts w:hint="eastAsia" w:ascii="仿宋_GB2312" w:hAnsi="仿宋_GB2312" w:eastAsia="仿宋_GB2312" w:cs="仿宋_GB2312"/>
          <w:b/>
          <w:sz w:val="30"/>
          <w:szCs w:val="30"/>
        </w:rPr>
      </w:pPr>
    </w:p>
    <w:p w14:paraId="4AC9AC62">
      <w:pPr>
        <w:spacing w:line="480" w:lineRule="auto"/>
        <w:jc w:val="center"/>
        <w:outlineLvl w:val="9"/>
        <w:rPr>
          <w:rFonts w:hint="eastAsia" w:ascii="楷体" w:hAnsi="楷体" w:eastAsia="楷体" w:cs="楷体"/>
          <w:b w:val="0"/>
          <w:bCs/>
          <w:sz w:val="32"/>
          <w:szCs w:val="32"/>
          <w:u w:val="single"/>
          <w:lang w:val="en-US" w:eastAsia="zh-CN"/>
        </w:rPr>
      </w:pPr>
      <w:r>
        <w:rPr>
          <w:rFonts w:hint="eastAsia" w:ascii="楷体" w:hAnsi="楷体" w:eastAsia="楷体" w:cs="楷体"/>
          <w:b w:val="0"/>
          <w:bCs/>
          <w:sz w:val="32"/>
          <w:szCs w:val="32"/>
        </w:rPr>
        <w:t>签订地点：</w:t>
      </w:r>
      <w:r>
        <w:rPr>
          <w:rFonts w:hint="eastAsia" w:ascii="楷体" w:hAnsi="楷体" w:eastAsia="楷体" w:cs="楷体"/>
          <w:b w:val="0"/>
          <w:bCs/>
          <w:sz w:val="32"/>
          <w:szCs w:val="32"/>
          <w:u w:val="single"/>
          <w:lang w:val="en-US" w:eastAsia="zh-CN"/>
        </w:rPr>
        <w:t>成都</w:t>
      </w:r>
    </w:p>
    <w:p w14:paraId="530E5178">
      <w:pPr>
        <w:spacing w:line="480" w:lineRule="auto"/>
        <w:jc w:val="center"/>
        <w:outlineLvl w:val="9"/>
        <w:rPr>
          <w:rFonts w:hint="eastAsia" w:ascii="楷体" w:hAnsi="楷体" w:eastAsia="楷体" w:cs="楷体"/>
          <w:b w:val="0"/>
          <w:bCs/>
          <w:sz w:val="32"/>
          <w:szCs w:val="32"/>
          <w:u w:val="single"/>
        </w:rPr>
      </w:pPr>
      <w:r>
        <w:rPr>
          <w:rFonts w:hint="eastAsia" w:ascii="楷体" w:hAnsi="楷体" w:eastAsia="楷体" w:cs="楷体"/>
          <w:b w:val="0"/>
          <w:bCs/>
          <w:sz w:val="32"/>
          <w:szCs w:val="32"/>
        </w:rPr>
        <w:t>签订时间：</w:t>
      </w:r>
      <w:r>
        <w:rPr>
          <w:rFonts w:hint="eastAsia" w:ascii="楷体" w:hAnsi="楷体" w:eastAsia="楷体" w:cs="楷体"/>
          <w:b w:val="0"/>
          <w:bCs/>
          <w:sz w:val="32"/>
          <w:szCs w:val="32"/>
          <w:u w:val="single"/>
        </w:rPr>
        <w:t>年</w:t>
      </w:r>
      <w:r>
        <w:rPr>
          <w:rFonts w:hint="eastAsia" w:ascii="楷体" w:hAnsi="楷体" w:eastAsia="楷体" w:cs="楷体"/>
          <w:b w:val="0"/>
          <w:bCs/>
          <w:sz w:val="32"/>
          <w:szCs w:val="32"/>
          <w:u w:val="single"/>
          <w:lang w:val="en-US" w:eastAsia="zh-CN"/>
        </w:rPr>
        <w:t xml:space="preserve"> </w:t>
      </w:r>
      <w:r>
        <w:rPr>
          <w:rFonts w:hint="eastAsia" w:ascii="楷体" w:hAnsi="楷体" w:eastAsia="楷体" w:cs="楷体"/>
          <w:b w:val="0"/>
          <w:bCs/>
          <w:sz w:val="32"/>
          <w:szCs w:val="32"/>
          <w:u w:val="single"/>
        </w:rPr>
        <w:t>月</w:t>
      </w:r>
    </w:p>
    <w:p w14:paraId="672931AA">
      <w:pPr>
        <w:keepNext w:val="0"/>
        <w:keepLines w:val="0"/>
        <w:pageBreakBefore w:val="0"/>
        <w:widowControl w:val="0"/>
        <w:tabs>
          <w:tab w:val="left" w:pos="2666"/>
        </w:tabs>
        <w:kinsoku/>
        <w:wordWrap/>
        <w:overflowPunct/>
        <w:topLinePunct w:val="0"/>
        <w:autoSpaceDE/>
        <w:autoSpaceDN/>
        <w:bidi w:val="0"/>
        <w:adjustRightInd w:val="0"/>
        <w:snapToGrid w:val="0"/>
        <w:spacing w:line="300" w:lineRule="auto"/>
        <w:jc w:val="left"/>
        <w:textAlignment w:val="auto"/>
        <w:outlineLvl w:val="9"/>
        <w:rPr>
          <w:rFonts w:hint="default" w:ascii="楷体" w:hAnsi="楷体" w:eastAsia="楷体" w:cs="楷体"/>
          <w:b w:val="0"/>
          <w:bCs w:val="0"/>
          <w:sz w:val="32"/>
          <w:szCs w:val="32"/>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4F8DECB">
      <w:pPr>
        <w:spacing w:line="308" w:lineRule="auto"/>
        <w:rPr>
          <w:rFonts w:ascii="Arial"/>
          <w:sz w:val="21"/>
        </w:rPr>
      </w:pPr>
    </w:p>
    <w:p w14:paraId="49454225">
      <w:pPr>
        <w:pStyle w:val="6"/>
        <w:spacing w:before="231" w:line="500" w:lineRule="exact"/>
        <w:ind w:left="0" w:firstLine="0" w:firstLineChars="0"/>
        <w:jc w:val="center"/>
        <w:rPr>
          <w:rFonts w:hint="eastAsia" w:ascii="宋体" w:hAnsi="宋体" w:eastAsia="宋体" w:cs="宋体"/>
          <w:b/>
          <w:bCs/>
          <w:spacing w:val="-10"/>
          <w:sz w:val="36"/>
          <w:szCs w:val="36"/>
          <w:lang w:val="en-US" w:eastAsia="zh-CN"/>
        </w:rPr>
      </w:pPr>
      <w:r>
        <w:rPr>
          <w:rFonts w:hint="eastAsia" w:ascii="宋体" w:hAnsi="宋体" w:eastAsia="宋体" w:cs="宋体"/>
          <w:b/>
          <w:bCs/>
          <w:spacing w:val="-10"/>
          <w:sz w:val="36"/>
          <w:szCs w:val="36"/>
          <w:lang w:val="en-US" w:eastAsia="zh-CN"/>
        </w:rPr>
        <w:t>采购合同</w:t>
      </w:r>
    </w:p>
    <w:p w14:paraId="45306D9A">
      <w:pPr>
        <w:spacing w:line="500" w:lineRule="exact"/>
        <w:ind w:firstLine="480" w:firstLineChars="200"/>
        <w:rPr>
          <w:rFonts w:hint="default" w:ascii="宋体" w:hAnsi="宋体" w:eastAsia="宋体" w:cs="宋体"/>
          <w:spacing w:val="0"/>
          <w:sz w:val="24"/>
          <w:szCs w:val="24"/>
        </w:rPr>
      </w:pPr>
      <w:r>
        <w:rPr>
          <w:rFonts w:hint="default" w:ascii="宋体" w:hAnsi="宋体" w:eastAsia="宋体" w:cs="宋体"/>
          <w:spacing w:val="0"/>
          <w:sz w:val="24"/>
          <w:szCs w:val="24"/>
        </w:rPr>
        <w:t>甲 方：</w:t>
      </w:r>
    </w:p>
    <w:p w14:paraId="62C9640A">
      <w:pPr>
        <w:spacing w:line="500" w:lineRule="exact"/>
        <w:ind w:firstLine="480" w:firstLineChars="200"/>
        <w:rPr>
          <w:rFonts w:hint="default" w:ascii="宋体" w:hAnsi="宋体" w:eastAsia="宋体" w:cs="宋体"/>
          <w:sz w:val="24"/>
          <w:szCs w:val="24"/>
        </w:rPr>
      </w:pPr>
      <w:r>
        <w:rPr>
          <w:rFonts w:hint="default" w:ascii="宋体" w:hAnsi="宋体" w:eastAsia="宋体" w:cs="宋体"/>
          <w:spacing w:val="0"/>
          <w:sz w:val="24"/>
          <w:szCs w:val="24"/>
        </w:rPr>
        <w:t>乙 方：</w:t>
      </w:r>
    </w:p>
    <w:p w14:paraId="73B18BD8">
      <w:pPr>
        <w:spacing w:line="500" w:lineRule="exact"/>
        <w:ind w:firstLine="480" w:firstLineChars="200"/>
        <w:rPr>
          <w:rFonts w:hint="default" w:ascii="宋体" w:hAnsi="宋体" w:eastAsia="宋体" w:cs="宋体"/>
          <w:spacing w:val="0"/>
          <w:sz w:val="24"/>
          <w:szCs w:val="24"/>
        </w:rPr>
      </w:pPr>
      <w:r>
        <w:rPr>
          <w:rFonts w:hint="default" w:ascii="宋体" w:hAnsi="宋体" w:eastAsia="宋体" w:cs="宋体"/>
          <w:spacing w:val="0"/>
          <w:sz w:val="24"/>
          <w:szCs w:val="24"/>
        </w:rPr>
        <w:drawing>
          <wp:anchor distT="0" distB="0" distL="0" distR="0" simplePos="0" relativeHeight="251659264" behindDoc="1" locked="0" layoutInCell="1" allowOverlap="1">
            <wp:simplePos x="0" y="0"/>
            <wp:positionH relativeFrom="column">
              <wp:posOffset>6692265</wp:posOffset>
            </wp:positionH>
            <wp:positionV relativeFrom="paragraph">
              <wp:posOffset>290195</wp:posOffset>
            </wp:positionV>
            <wp:extent cx="34925" cy="374015"/>
            <wp:effectExtent l="0" t="0" r="3175" b="6985"/>
            <wp:wrapNone/>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6"/>
                    <a:stretch>
                      <a:fillRect/>
                    </a:stretch>
                  </pic:blipFill>
                  <pic:spPr>
                    <a:xfrm>
                      <a:off x="0" y="0"/>
                      <a:ext cx="34921" cy="374185"/>
                    </a:xfrm>
                    <a:prstGeom prst="rect">
                      <a:avLst/>
                    </a:prstGeom>
                  </pic:spPr>
                </pic:pic>
              </a:graphicData>
            </a:graphic>
          </wp:anchor>
        </w:drawing>
      </w:r>
      <w:r>
        <w:rPr>
          <w:rFonts w:hint="default" w:ascii="宋体" w:hAnsi="宋体" w:eastAsia="宋体" w:cs="宋体"/>
          <w:spacing w:val="0"/>
          <w:sz w:val="24"/>
          <w:szCs w:val="24"/>
        </w:rPr>
        <w:t>甲</w:t>
      </w:r>
      <w:r>
        <w:rPr>
          <w:rFonts w:hint="default" w:ascii="宋体" w:hAnsi="宋体" w:eastAsia="宋体" w:cs="宋体"/>
          <w:color w:val="auto"/>
          <w:spacing w:val="0"/>
          <w:sz w:val="24"/>
          <w:szCs w:val="24"/>
        </w:rPr>
        <w:t>方根据</w:t>
      </w:r>
      <w:r>
        <w:rPr>
          <w:rFonts w:hint="eastAsia" w:cs="宋体"/>
          <w:color w:val="auto"/>
          <w:spacing w:val="0"/>
          <w:sz w:val="24"/>
          <w:szCs w:val="24"/>
          <w:u w:val="none"/>
          <w:lang w:eastAsia="zh-CN"/>
        </w:rPr>
        <w:t>四川济通工程试验检测有限公司工会委员会</w:t>
      </w:r>
      <w:r>
        <w:rPr>
          <w:rFonts w:hint="default" w:ascii="宋体" w:hAnsi="宋体" w:eastAsia="宋体" w:cs="宋体"/>
          <w:color w:val="auto"/>
          <w:spacing w:val="0"/>
          <w:sz w:val="24"/>
          <w:szCs w:val="24"/>
          <w:u w:val="none"/>
        </w:rPr>
        <w:t>202</w:t>
      </w:r>
      <w:r>
        <w:rPr>
          <w:rFonts w:hint="default" w:ascii="宋体" w:hAnsi="宋体" w:eastAsia="宋体" w:cs="宋体"/>
          <w:color w:val="auto"/>
          <w:spacing w:val="0"/>
          <w:sz w:val="24"/>
          <w:szCs w:val="24"/>
          <w:u w:val="none"/>
          <w:lang w:val="en-US" w:eastAsia="zh-CN"/>
        </w:rPr>
        <w:t>6</w:t>
      </w:r>
      <w:r>
        <w:rPr>
          <w:rFonts w:hint="default" w:ascii="宋体" w:hAnsi="宋体" w:eastAsia="宋体" w:cs="宋体"/>
          <w:color w:val="auto"/>
          <w:spacing w:val="0"/>
          <w:sz w:val="24"/>
          <w:szCs w:val="24"/>
          <w:u w:val="none"/>
        </w:rPr>
        <w:t>年度法定节日慰问品采购</w:t>
      </w:r>
      <w:r>
        <w:rPr>
          <w:rFonts w:hint="default" w:cs="宋体"/>
          <w:color w:val="auto"/>
          <w:spacing w:val="0"/>
          <w:sz w:val="24"/>
          <w:szCs w:val="24"/>
          <w:u w:val="none"/>
          <w:lang w:val="en-US" w:eastAsia="zh-CN"/>
        </w:rPr>
        <w:t>项目</w:t>
      </w:r>
      <w:r>
        <w:rPr>
          <w:rFonts w:hint="default" w:ascii="宋体" w:hAnsi="宋体" w:eastAsia="宋体" w:cs="宋体"/>
          <w:color w:val="auto"/>
          <w:spacing w:val="0"/>
          <w:sz w:val="24"/>
          <w:szCs w:val="24"/>
          <w:u w:val="none"/>
        </w:rPr>
        <w:t>(采购项目编号：</w:t>
      </w:r>
      <w:r>
        <w:rPr>
          <w:rFonts w:hint="default" w:ascii="宋体" w:hAnsi="宋体" w:eastAsia="宋体" w:cs="宋体"/>
          <w:color w:val="auto"/>
          <w:spacing w:val="0"/>
          <w:sz w:val="24"/>
          <w:szCs w:val="24"/>
          <w:u w:val="none"/>
          <w:lang w:val="en-US" w:eastAsia="zh-CN"/>
        </w:rPr>
        <w:t xml:space="preserve">    </w:t>
      </w:r>
      <w:r>
        <w:rPr>
          <w:rFonts w:hint="default" w:ascii="宋体" w:hAnsi="宋体" w:eastAsia="宋体" w:cs="宋体"/>
          <w:color w:val="auto"/>
          <w:spacing w:val="0"/>
          <w:sz w:val="24"/>
          <w:szCs w:val="24"/>
          <w:u w:val="none"/>
        </w:rPr>
        <w:t>)</w:t>
      </w:r>
      <w:r>
        <w:rPr>
          <w:rFonts w:hint="eastAsia" w:cs="宋体"/>
          <w:color w:val="auto"/>
          <w:spacing w:val="0"/>
          <w:sz w:val="24"/>
          <w:szCs w:val="24"/>
          <w:highlight w:val="none"/>
          <w:u w:val="none"/>
          <w:lang w:val="en-US" w:eastAsia="zh-CN"/>
        </w:rPr>
        <w:t>竞争性谈判采购</w:t>
      </w:r>
      <w:r>
        <w:rPr>
          <w:rFonts w:hint="default" w:ascii="宋体" w:hAnsi="宋体" w:eastAsia="宋体" w:cs="宋体"/>
          <w:color w:val="auto"/>
          <w:spacing w:val="0"/>
          <w:sz w:val="24"/>
          <w:szCs w:val="24"/>
          <w:highlight w:val="none"/>
        </w:rPr>
        <w:t>结果，拟委</w:t>
      </w:r>
      <w:r>
        <w:rPr>
          <w:rFonts w:hint="default" w:ascii="宋体" w:hAnsi="宋体" w:eastAsia="宋体" w:cs="宋体"/>
          <w:color w:val="auto"/>
          <w:spacing w:val="0"/>
          <w:sz w:val="24"/>
          <w:szCs w:val="24"/>
        </w:rPr>
        <w:t>托乙方为甲方提供202</w:t>
      </w:r>
      <w:r>
        <w:rPr>
          <w:rFonts w:hint="default" w:ascii="宋体" w:hAnsi="宋体" w:eastAsia="宋体" w:cs="宋体"/>
          <w:color w:val="auto"/>
          <w:spacing w:val="0"/>
          <w:sz w:val="24"/>
          <w:szCs w:val="24"/>
          <w:lang w:val="en-US" w:eastAsia="zh-CN"/>
        </w:rPr>
        <w:t>6</w:t>
      </w:r>
      <w:r>
        <w:rPr>
          <w:rFonts w:hint="default" w:ascii="宋体" w:hAnsi="宋体" w:eastAsia="宋体" w:cs="宋体"/>
          <w:color w:val="auto"/>
          <w:spacing w:val="0"/>
          <w:sz w:val="24"/>
          <w:szCs w:val="24"/>
        </w:rPr>
        <w:t>年度法定节日慰问品</w:t>
      </w:r>
      <w:r>
        <w:rPr>
          <w:rFonts w:hint="eastAsia" w:cs="宋体"/>
          <w:color w:val="auto"/>
          <w:spacing w:val="0"/>
          <w:sz w:val="24"/>
          <w:szCs w:val="24"/>
          <w:lang w:val="en-US" w:eastAsia="zh-CN"/>
        </w:rPr>
        <w:t>服务</w:t>
      </w:r>
      <w:r>
        <w:rPr>
          <w:rFonts w:hint="default" w:ascii="宋体" w:hAnsi="宋体" w:eastAsia="宋体" w:cs="宋体"/>
          <w:color w:val="auto"/>
          <w:spacing w:val="0"/>
          <w:sz w:val="24"/>
          <w:szCs w:val="24"/>
        </w:rPr>
        <w:t>。甲、乙双</w:t>
      </w:r>
      <w:r>
        <w:rPr>
          <w:rFonts w:hint="default" w:ascii="宋体" w:hAnsi="宋体" w:eastAsia="宋体" w:cs="宋体"/>
          <w:spacing w:val="0"/>
          <w:sz w:val="24"/>
          <w:szCs w:val="24"/>
        </w:rPr>
        <w:t>方协商一致后根据《中华人民共和国民法典》及其他有关法律法规签订本合同，并同意共同遵守如下条款</w:t>
      </w:r>
    </w:p>
    <w:p w14:paraId="20D7242F">
      <w:pPr>
        <w:numPr>
          <w:ilvl w:val="0"/>
          <w:numId w:val="1"/>
        </w:numPr>
        <w:spacing w:line="500" w:lineRule="exact"/>
        <w:ind w:firstLine="482" w:firstLineChars="200"/>
        <w:rPr>
          <w:rFonts w:hint="default" w:ascii="宋体" w:hAnsi="宋体" w:eastAsia="宋体" w:cs="宋体"/>
          <w:b/>
          <w:bCs/>
          <w:spacing w:val="0"/>
          <w:sz w:val="24"/>
          <w:szCs w:val="24"/>
        </w:rPr>
      </w:pPr>
      <w:r>
        <w:rPr>
          <w:rFonts w:hint="eastAsia" w:cs="宋体"/>
          <w:b/>
          <w:bCs/>
          <w:spacing w:val="0"/>
          <w:sz w:val="24"/>
          <w:szCs w:val="24"/>
          <w:lang w:val="en-US" w:eastAsia="zh-CN"/>
        </w:rPr>
        <w:t>采购</w:t>
      </w:r>
      <w:r>
        <w:rPr>
          <w:rFonts w:hint="default" w:ascii="宋体" w:hAnsi="宋体" w:eastAsia="宋体" w:cs="宋体"/>
          <w:b/>
          <w:bCs/>
          <w:spacing w:val="0"/>
          <w:sz w:val="24"/>
          <w:szCs w:val="24"/>
        </w:rPr>
        <w:t>内容</w:t>
      </w:r>
      <w:r>
        <w:rPr>
          <w:rFonts w:hint="eastAsia" w:cs="宋体"/>
          <w:b/>
          <w:bCs/>
          <w:spacing w:val="0"/>
          <w:sz w:val="24"/>
          <w:szCs w:val="24"/>
          <w:lang w:eastAsia="zh-CN"/>
        </w:rPr>
        <w:t>、</w:t>
      </w:r>
      <w:r>
        <w:rPr>
          <w:rFonts w:hint="eastAsia" w:cs="宋体"/>
          <w:b/>
          <w:bCs/>
          <w:spacing w:val="0"/>
          <w:sz w:val="24"/>
          <w:szCs w:val="24"/>
          <w:lang w:val="en-US" w:eastAsia="zh-CN"/>
        </w:rPr>
        <w:t>期限</w:t>
      </w:r>
    </w:p>
    <w:p w14:paraId="4EAD5FF7">
      <w:pPr>
        <w:numPr>
          <w:ilvl w:val="-1"/>
          <w:numId w:val="0"/>
        </w:numPr>
        <w:spacing w:line="500" w:lineRule="exact"/>
        <w:ind w:firstLine="480" w:firstLineChars="200"/>
        <w:rPr>
          <w:rFonts w:hint="default" w:ascii="宋体" w:hAnsi="宋体" w:eastAsia="宋体" w:cs="宋体"/>
          <w:sz w:val="24"/>
          <w:szCs w:val="24"/>
        </w:rPr>
      </w:pPr>
      <w:r>
        <w:rPr>
          <w:rFonts w:hint="eastAsia" w:cs="宋体"/>
          <w:spacing w:val="0"/>
          <w:sz w:val="24"/>
          <w:szCs w:val="24"/>
          <w:lang w:val="en-US" w:eastAsia="zh-CN"/>
        </w:rPr>
        <w:t>1.</w:t>
      </w:r>
      <w:r>
        <w:rPr>
          <w:rFonts w:hint="default" w:ascii="宋体" w:hAnsi="宋体" w:eastAsia="宋体" w:cs="宋体"/>
          <w:spacing w:val="0"/>
          <w:sz w:val="24"/>
          <w:szCs w:val="24"/>
        </w:rPr>
        <w:t>乙方向甲方提供202</w:t>
      </w:r>
      <w:r>
        <w:rPr>
          <w:rFonts w:hint="default" w:ascii="宋体" w:hAnsi="宋体" w:eastAsia="宋体" w:cs="宋体"/>
          <w:spacing w:val="0"/>
          <w:sz w:val="24"/>
          <w:szCs w:val="24"/>
          <w:lang w:val="en-US" w:eastAsia="zh-CN"/>
        </w:rPr>
        <w:t>6</w:t>
      </w:r>
      <w:r>
        <w:rPr>
          <w:rFonts w:hint="default" w:ascii="宋体" w:hAnsi="宋体" w:eastAsia="宋体" w:cs="宋体"/>
          <w:spacing w:val="0"/>
          <w:sz w:val="24"/>
          <w:szCs w:val="24"/>
        </w:rPr>
        <w:t>年度的法定节日慰问品</w:t>
      </w:r>
      <w:r>
        <w:rPr>
          <w:rFonts w:hint="eastAsia" w:cs="宋体"/>
          <w:spacing w:val="0"/>
          <w:sz w:val="24"/>
          <w:szCs w:val="24"/>
          <w:lang w:val="en-US" w:eastAsia="zh-CN"/>
        </w:rPr>
        <w:t>服务</w:t>
      </w:r>
      <w:r>
        <w:rPr>
          <w:rFonts w:hint="default" w:ascii="宋体" w:hAnsi="宋体" w:eastAsia="宋体" w:cs="宋体"/>
          <w:spacing w:val="0"/>
          <w:sz w:val="24"/>
          <w:szCs w:val="24"/>
        </w:rPr>
        <w:t>，涵盖元旦、春节、劳动节、端午节、中秋节以及国庆节的慰问品。乙方须确保慰问品的领取途径涵盖线上平台及实体店面。</w:t>
      </w:r>
    </w:p>
    <w:p w14:paraId="3516D0DC">
      <w:pPr>
        <w:spacing w:line="500" w:lineRule="exact"/>
        <w:ind w:firstLine="480" w:firstLineChars="200"/>
        <w:rPr>
          <w:rFonts w:hint="default" w:ascii="宋体" w:hAnsi="宋体" w:eastAsia="宋体" w:cs="宋体"/>
          <w:spacing w:val="0"/>
          <w:sz w:val="24"/>
          <w:szCs w:val="24"/>
        </w:rPr>
      </w:pPr>
      <w:r>
        <w:rPr>
          <w:rFonts w:hint="eastAsia" w:cs="宋体"/>
          <w:spacing w:val="0"/>
          <w:sz w:val="24"/>
          <w:szCs w:val="24"/>
          <w:lang w:val="en-US" w:eastAsia="zh-CN"/>
        </w:rPr>
        <w:t>2</w:t>
      </w:r>
      <w:r>
        <w:rPr>
          <w:rFonts w:hint="default" w:cs="宋体"/>
          <w:spacing w:val="0"/>
          <w:sz w:val="24"/>
          <w:szCs w:val="24"/>
          <w:lang w:val="en-US" w:eastAsia="zh-CN"/>
        </w:rPr>
        <w:t>.</w:t>
      </w:r>
      <w:r>
        <w:rPr>
          <w:rFonts w:hint="default" w:ascii="宋体" w:hAnsi="宋体" w:eastAsia="宋体" w:cs="宋体"/>
          <w:spacing w:val="0"/>
          <w:sz w:val="24"/>
          <w:szCs w:val="24"/>
          <w:lang w:val="en-US" w:eastAsia="zh-CN"/>
        </w:rPr>
        <w:t>服务期限：</w:t>
      </w:r>
      <w:r>
        <w:rPr>
          <w:rFonts w:hint="default" w:cs="宋体"/>
          <w:spacing w:val="0"/>
          <w:sz w:val="24"/>
          <w:szCs w:val="24"/>
          <w:lang w:val="en-US" w:eastAsia="zh-CN"/>
        </w:rPr>
        <w:t>1年。</w:t>
      </w:r>
    </w:p>
    <w:p w14:paraId="0CAA7400">
      <w:pPr>
        <w:numPr>
          <w:ilvl w:val="-1"/>
          <w:numId w:val="0"/>
        </w:numPr>
        <w:spacing w:line="500" w:lineRule="exact"/>
        <w:ind w:firstLine="482" w:firstLineChars="200"/>
        <w:rPr>
          <w:rFonts w:hint="default" w:ascii="宋体" w:hAnsi="宋体" w:eastAsia="宋体" w:cs="宋体"/>
          <w:b/>
          <w:bCs/>
          <w:spacing w:val="0"/>
          <w:sz w:val="24"/>
          <w:szCs w:val="24"/>
        </w:rPr>
      </w:pPr>
      <w:r>
        <w:rPr>
          <w:rFonts w:hint="eastAsia" w:cs="宋体"/>
          <w:b/>
          <w:bCs/>
          <w:spacing w:val="0"/>
          <w:sz w:val="24"/>
          <w:szCs w:val="24"/>
          <w:lang w:val="en-US" w:eastAsia="zh-CN"/>
        </w:rPr>
        <w:t>二、合同价款、结算及支付</w:t>
      </w:r>
    </w:p>
    <w:p w14:paraId="2939A5FE">
      <w:pPr>
        <w:numPr>
          <w:ilvl w:val="-1"/>
          <w:numId w:val="0"/>
        </w:numPr>
        <w:spacing w:line="500" w:lineRule="exact"/>
        <w:ind w:firstLine="0" w:firstLineChars="0"/>
        <w:jc w:val="center"/>
        <w:rPr>
          <w:rFonts w:hint="eastAsia" w:cs="宋体"/>
          <w:b/>
          <w:bCs/>
          <w:spacing w:val="0"/>
          <w:sz w:val="24"/>
          <w:szCs w:val="24"/>
          <w:lang w:val="en-US" w:eastAsia="zh-CN"/>
        </w:rPr>
      </w:pPr>
      <w:r>
        <w:rPr>
          <w:rFonts w:hint="default" w:ascii="宋体" w:hAnsi="宋体" w:eastAsia="宋体" w:cs="宋体"/>
          <w:spacing w:val="0"/>
          <w:sz w:val="24"/>
          <w:szCs w:val="24"/>
        </w:rPr>
        <w:t>202</w:t>
      </w:r>
      <w:r>
        <w:rPr>
          <w:rFonts w:hint="default" w:ascii="宋体" w:hAnsi="宋体" w:eastAsia="宋体" w:cs="宋体"/>
          <w:spacing w:val="0"/>
          <w:sz w:val="24"/>
          <w:szCs w:val="24"/>
          <w:lang w:val="en-US" w:eastAsia="zh-CN"/>
        </w:rPr>
        <w:t>6</w:t>
      </w:r>
      <w:r>
        <w:rPr>
          <w:rFonts w:hint="default" w:ascii="宋体" w:hAnsi="宋体" w:eastAsia="宋体" w:cs="宋体"/>
          <w:spacing w:val="0"/>
          <w:sz w:val="24"/>
          <w:szCs w:val="24"/>
        </w:rPr>
        <w:t>年度法定节日慰问品</w:t>
      </w:r>
      <w:r>
        <w:rPr>
          <w:rFonts w:hint="eastAsia" w:ascii="宋体" w:hAnsi="宋体" w:eastAsia="宋体" w:cs="宋体"/>
          <w:spacing w:val="0"/>
          <w:sz w:val="24"/>
          <w:szCs w:val="24"/>
          <w:lang w:val="en-US" w:eastAsia="zh-CN"/>
        </w:rPr>
        <w:t>服务</w:t>
      </w:r>
      <w:r>
        <w:rPr>
          <w:rFonts w:hint="eastAsia" w:cs="宋体"/>
          <w:b/>
          <w:bCs/>
          <w:spacing w:val="0"/>
          <w:sz w:val="24"/>
          <w:szCs w:val="24"/>
          <w:lang w:val="en-US" w:eastAsia="zh-CN"/>
        </w:rPr>
        <w:t>清单</w:t>
      </w:r>
    </w:p>
    <w:tbl>
      <w:tblPr>
        <w:tblStyle w:val="11"/>
        <w:tblpPr w:leftFromText="180" w:rightFromText="180" w:vertAnchor="text" w:horzAnchor="page" w:tblpX="1554" w:tblpY="356"/>
        <w:tblOverlap w:val="never"/>
        <w:tblW w:w="51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37"/>
        <w:gridCol w:w="1769"/>
        <w:gridCol w:w="1191"/>
        <w:gridCol w:w="860"/>
        <w:gridCol w:w="1156"/>
        <w:gridCol w:w="919"/>
        <w:gridCol w:w="1579"/>
      </w:tblGrid>
      <w:tr w14:paraId="2B2F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29" w:type="pct"/>
            <w:tcBorders>
              <w:top w:val="single" w:color="auto" w:sz="12" w:space="0"/>
              <w:left w:val="single" w:color="auto" w:sz="12" w:space="0"/>
              <w:bottom w:val="single" w:color="auto" w:sz="4" w:space="0"/>
              <w:right w:val="single" w:color="auto" w:sz="4" w:space="0"/>
            </w:tcBorders>
            <w:vAlign w:val="center"/>
          </w:tcPr>
          <w:p w14:paraId="15BD2BD8">
            <w:pPr>
              <w:ind w:firstLine="0" w:firstLineChars="0"/>
              <w:jc w:val="center"/>
              <w:rPr>
                <w:rFonts w:hint="default" w:ascii="宋体" w:hAnsi="宋体" w:eastAsia="宋体" w:cs="宋体"/>
                <w:b/>
                <w:bCs/>
                <w:sz w:val="24"/>
                <w:szCs w:val="24"/>
              </w:rPr>
            </w:pPr>
            <w:r>
              <w:rPr>
                <w:rFonts w:hint="default" w:ascii="宋体" w:hAnsi="宋体" w:eastAsia="宋体" w:cs="宋体"/>
                <w:b/>
                <w:bCs/>
                <w:spacing w:val="0"/>
                <w:sz w:val="24"/>
                <w:szCs w:val="24"/>
              </w:rPr>
              <w:t>项目名称</w:t>
            </w:r>
          </w:p>
        </w:tc>
        <w:tc>
          <w:tcPr>
            <w:tcW w:w="940" w:type="pct"/>
            <w:tcBorders>
              <w:top w:val="single" w:color="auto" w:sz="12" w:space="0"/>
              <w:left w:val="single" w:color="auto" w:sz="4" w:space="0"/>
              <w:bottom w:val="single" w:color="auto" w:sz="4" w:space="0"/>
              <w:right w:val="single" w:color="auto" w:sz="4" w:space="0"/>
            </w:tcBorders>
            <w:vAlign w:val="center"/>
          </w:tcPr>
          <w:p w14:paraId="168DFD2A">
            <w:pPr>
              <w:ind w:firstLine="482" w:firstLineChars="200"/>
              <w:jc w:val="both"/>
              <w:rPr>
                <w:rFonts w:hint="default" w:ascii="宋体" w:hAnsi="宋体" w:eastAsia="宋体" w:cs="宋体"/>
                <w:b/>
                <w:bCs/>
                <w:sz w:val="24"/>
                <w:szCs w:val="24"/>
              </w:rPr>
            </w:pPr>
            <w:r>
              <w:rPr>
                <w:rFonts w:hint="default" w:ascii="宋体" w:hAnsi="宋体" w:eastAsia="宋体" w:cs="宋体"/>
                <w:b/>
                <w:bCs/>
                <w:spacing w:val="0"/>
                <w:sz w:val="24"/>
                <w:szCs w:val="24"/>
              </w:rPr>
              <w:t>产品内容</w:t>
            </w:r>
          </w:p>
        </w:tc>
        <w:tc>
          <w:tcPr>
            <w:tcW w:w="633" w:type="pct"/>
            <w:tcBorders>
              <w:top w:val="single" w:color="auto" w:sz="12" w:space="0"/>
              <w:left w:val="single" w:color="auto" w:sz="4" w:space="0"/>
              <w:bottom w:val="single" w:color="auto" w:sz="4" w:space="0"/>
              <w:right w:val="single" w:color="auto" w:sz="4" w:space="0"/>
            </w:tcBorders>
            <w:vAlign w:val="center"/>
          </w:tcPr>
          <w:p w14:paraId="33EBC9DE">
            <w:pPr>
              <w:ind w:firstLine="0" w:firstLineChars="0"/>
              <w:jc w:val="center"/>
              <w:rPr>
                <w:rFonts w:hint="default" w:ascii="宋体" w:hAnsi="宋体" w:eastAsia="宋体" w:cs="宋体"/>
                <w:b/>
                <w:bCs/>
                <w:sz w:val="24"/>
                <w:szCs w:val="24"/>
              </w:rPr>
            </w:pPr>
            <w:r>
              <w:rPr>
                <w:rFonts w:hint="eastAsia" w:cs="宋体"/>
                <w:b/>
                <w:bCs/>
                <w:spacing w:val="0"/>
                <w:sz w:val="24"/>
                <w:szCs w:val="24"/>
                <w:lang w:val="en-US" w:eastAsia="zh-CN"/>
              </w:rPr>
              <w:t>预估数量</w:t>
            </w:r>
          </w:p>
        </w:tc>
        <w:tc>
          <w:tcPr>
            <w:tcW w:w="457" w:type="pct"/>
            <w:tcBorders>
              <w:top w:val="single" w:color="auto" w:sz="12" w:space="0"/>
              <w:left w:val="single" w:color="auto" w:sz="4" w:space="0"/>
              <w:bottom w:val="single" w:color="auto" w:sz="4" w:space="0"/>
              <w:right w:val="single" w:color="auto" w:sz="4" w:space="0"/>
            </w:tcBorders>
            <w:vAlign w:val="center"/>
          </w:tcPr>
          <w:p w14:paraId="1A908733">
            <w:pPr>
              <w:ind w:firstLine="0" w:firstLineChars="0"/>
              <w:jc w:val="center"/>
              <w:rPr>
                <w:rFonts w:hint="default" w:ascii="宋体" w:hAnsi="宋体" w:eastAsia="宋体" w:cs="宋体"/>
                <w:b/>
                <w:bCs/>
                <w:sz w:val="24"/>
                <w:szCs w:val="24"/>
              </w:rPr>
            </w:pPr>
            <w:r>
              <w:rPr>
                <w:rFonts w:hint="default" w:ascii="宋体" w:hAnsi="宋体" w:eastAsia="宋体" w:cs="宋体"/>
                <w:b/>
                <w:bCs/>
                <w:spacing w:val="0"/>
                <w:sz w:val="24"/>
                <w:szCs w:val="24"/>
              </w:rPr>
              <w:t>单价</w:t>
            </w:r>
          </w:p>
        </w:tc>
        <w:tc>
          <w:tcPr>
            <w:tcW w:w="614" w:type="pct"/>
            <w:tcBorders>
              <w:top w:val="single" w:color="auto" w:sz="12" w:space="0"/>
              <w:left w:val="single" w:color="auto" w:sz="4" w:space="0"/>
              <w:bottom w:val="single" w:color="auto" w:sz="4" w:space="0"/>
              <w:right w:val="single" w:color="auto" w:sz="4" w:space="0"/>
            </w:tcBorders>
            <w:vAlign w:val="center"/>
          </w:tcPr>
          <w:p w14:paraId="54785238">
            <w:pPr>
              <w:ind w:firstLine="0" w:firstLineChars="0"/>
              <w:jc w:val="center"/>
              <w:rPr>
                <w:rFonts w:hint="default" w:ascii="宋体" w:hAnsi="宋体" w:eastAsia="宋体" w:cs="宋体"/>
                <w:b/>
                <w:bCs/>
                <w:sz w:val="24"/>
                <w:szCs w:val="24"/>
              </w:rPr>
            </w:pPr>
            <w:r>
              <w:rPr>
                <w:rFonts w:hint="default" w:ascii="宋体" w:hAnsi="宋体" w:eastAsia="宋体" w:cs="宋体"/>
                <w:b/>
                <w:bCs/>
                <w:spacing w:val="0"/>
                <w:sz w:val="24"/>
                <w:szCs w:val="24"/>
              </w:rPr>
              <w:t>配增率</w:t>
            </w:r>
          </w:p>
        </w:tc>
        <w:tc>
          <w:tcPr>
            <w:tcW w:w="488" w:type="pct"/>
            <w:tcBorders>
              <w:top w:val="single" w:color="auto" w:sz="12" w:space="0"/>
              <w:left w:val="single" w:color="auto" w:sz="4" w:space="0"/>
              <w:bottom w:val="single" w:color="auto" w:sz="4" w:space="0"/>
              <w:right w:val="single" w:color="auto" w:sz="4" w:space="0"/>
            </w:tcBorders>
            <w:vAlign w:val="center"/>
          </w:tcPr>
          <w:p w14:paraId="13D97EB4">
            <w:pPr>
              <w:ind w:firstLine="0" w:firstLineChars="0"/>
              <w:jc w:val="center"/>
              <w:rPr>
                <w:rFonts w:hint="default" w:ascii="宋体" w:hAnsi="宋体" w:eastAsia="宋体" w:cs="宋体"/>
                <w:b/>
                <w:bCs/>
                <w:spacing w:val="0"/>
                <w:sz w:val="24"/>
                <w:szCs w:val="24"/>
              </w:rPr>
            </w:pPr>
            <w:r>
              <w:rPr>
                <w:rFonts w:hint="default" w:ascii="宋体" w:hAnsi="宋体" w:eastAsia="宋体" w:cs="宋体"/>
                <w:b/>
                <w:bCs/>
                <w:spacing w:val="0"/>
                <w:sz w:val="24"/>
                <w:szCs w:val="24"/>
              </w:rPr>
              <w:t>实际产</w:t>
            </w:r>
          </w:p>
          <w:p w14:paraId="605C3841">
            <w:pPr>
              <w:ind w:firstLine="0" w:firstLineChars="0"/>
              <w:jc w:val="center"/>
              <w:rPr>
                <w:rFonts w:hint="default" w:ascii="宋体" w:hAnsi="宋体" w:eastAsia="宋体" w:cs="宋体"/>
                <w:b/>
                <w:bCs/>
                <w:sz w:val="24"/>
                <w:szCs w:val="24"/>
              </w:rPr>
            </w:pPr>
            <w:r>
              <w:rPr>
                <w:rFonts w:hint="default" w:ascii="宋体" w:hAnsi="宋体" w:eastAsia="宋体" w:cs="宋体"/>
                <w:b/>
                <w:bCs/>
                <w:spacing w:val="0"/>
                <w:sz w:val="24"/>
                <w:szCs w:val="24"/>
              </w:rPr>
              <w:t>品价值</w:t>
            </w:r>
          </w:p>
        </w:tc>
        <w:tc>
          <w:tcPr>
            <w:tcW w:w="836" w:type="pct"/>
            <w:tcBorders>
              <w:top w:val="single" w:color="auto" w:sz="12" w:space="0"/>
              <w:left w:val="single" w:color="auto" w:sz="4" w:space="0"/>
              <w:bottom w:val="single" w:color="auto" w:sz="4" w:space="0"/>
              <w:right w:val="single" w:color="auto" w:sz="12" w:space="0"/>
            </w:tcBorders>
            <w:vAlign w:val="center"/>
          </w:tcPr>
          <w:p w14:paraId="5AB5FD7A">
            <w:pPr>
              <w:ind w:firstLine="0" w:firstLineChars="0"/>
              <w:jc w:val="center"/>
              <w:rPr>
                <w:rFonts w:hint="default" w:ascii="宋体" w:hAnsi="宋体" w:eastAsia="宋体" w:cs="宋体"/>
                <w:b/>
                <w:bCs/>
                <w:sz w:val="24"/>
                <w:szCs w:val="24"/>
              </w:rPr>
            </w:pPr>
            <w:r>
              <w:rPr>
                <w:rFonts w:hint="eastAsia" w:cs="宋体"/>
                <w:b/>
                <w:bCs/>
                <w:spacing w:val="0"/>
                <w:sz w:val="24"/>
                <w:szCs w:val="24"/>
                <w:lang w:val="en-US" w:eastAsia="zh-CN"/>
              </w:rPr>
              <w:t>预估合计金额</w:t>
            </w:r>
            <w:r>
              <w:rPr>
                <w:rFonts w:hint="default" w:ascii="宋体" w:hAnsi="宋体" w:eastAsia="宋体" w:cs="宋体"/>
                <w:b/>
                <w:bCs/>
                <w:spacing w:val="0"/>
                <w:sz w:val="24"/>
                <w:szCs w:val="24"/>
              </w:rPr>
              <w:t>( 元 )</w:t>
            </w:r>
          </w:p>
        </w:tc>
      </w:tr>
      <w:tr w14:paraId="73DB2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29" w:type="pct"/>
            <w:tcBorders>
              <w:top w:val="single" w:color="auto" w:sz="4" w:space="0"/>
              <w:left w:val="single" w:color="auto" w:sz="12" w:space="0"/>
              <w:bottom w:val="single" w:color="auto" w:sz="4" w:space="0"/>
              <w:right w:val="single" w:color="auto" w:sz="4" w:space="0"/>
            </w:tcBorders>
            <w:vAlign w:val="center"/>
          </w:tcPr>
          <w:p w14:paraId="16EB46C0">
            <w:pPr>
              <w:ind w:firstLine="0" w:firstLineChars="0"/>
              <w:jc w:val="center"/>
              <w:rPr>
                <w:rFonts w:hint="default" w:ascii="宋体" w:hAnsi="宋体" w:eastAsia="宋体" w:cs="宋体"/>
                <w:sz w:val="24"/>
                <w:szCs w:val="24"/>
              </w:rPr>
            </w:pPr>
            <w:r>
              <w:rPr>
                <w:rFonts w:hint="default" w:ascii="宋体" w:hAnsi="宋体" w:eastAsia="宋体" w:cs="宋体"/>
                <w:spacing w:val="0"/>
                <w:sz w:val="24"/>
                <w:szCs w:val="24"/>
              </w:rPr>
              <w:t>2026年度法定节日慰问品服务</w:t>
            </w:r>
          </w:p>
        </w:tc>
        <w:tc>
          <w:tcPr>
            <w:tcW w:w="940" w:type="pct"/>
            <w:tcBorders>
              <w:top w:val="single" w:color="auto" w:sz="4" w:space="0"/>
              <w:left w:val="single" w:color="auto" w:sz="4" w:space="0"/>
              <w:bottom w:val="single" w:color="auto" w:sz="4" w:space="0"/>
              <w:right w:val="single" w:color="auto" w:sz="4" w:space="0"/>
            </w:tcBorders>
            <w:vAlign w:val="center"/>
          </w:tcPr>
          <w:p w14:paraId="5D50464B">
            <w:pPr>
              <w:ind w:firstLine="0" w:firstLineChars="0"/>
              <w:jc w:val="center"/>
              <w:rPr>
                <w:rFonts w:hint="default" w:ascii="宋体" w:hAnsi="宋体" w:eastAsia="宋体" w:cs="宋体"/>
                <w:sz w:val="24"/>
                <w:szCs w:val="24"/>
              </w:rPr>
            </w:pPr>
            <w:r>
              <w:rPr>
                <w:rFonts w:hint="default" w:ascii="宋体" w:hAnsi="宋体" w:eastAsia="宋体" w:cs="宋体"/>
                <w:spacing w:val="0"/>
                <w:sz w:val="24"/>
                <w:szCs w:val="24"/>
              </w:rPr>
              <w:t>粮、油副食类等呼应节日主</w:t>
            </w:r>
            <w:r>
              <w:rPr>
                <w:rFonts w:hint="default" w:ascii="宋体" w:hAnsi="宋体" w:eastAsia="宋体" w:cs="宋体"/>
                <w:sz w:val="24"/>
                <w:szCs w:val="24"/>
              </w:rPr>
              <w:t>题</w:t>
            </w:r>
          </w:p>
        </w:tc>
        <w:tc>
          <w:tcPr>
            <w:tcW w:w="633" w:type="pct"/>
            <w:tcBorders>
              <w:top w:val="single" w:color="auto" w:sz="4" w:space="0"/>
              <w:left w:val="single" w:color="auto" w:sz="4" w:space="0"/>
              <w:bottom w:val="single" w:color="auto" w:sz="4" w:space="0"/>
              <w:right w:val="single" w:color="auto" w:sz="4" w:space="0"/>
            </w:tcBorders>
            <w:vAlign w:val="center"/>
          </w:tcPr>
          <w:p w14:paraId="6410E54A">
            <w:pPr>
              <w:ind w:firstLine="480" w:firstLineChars="200"/>
              <w:jc w:val="center"/>
              <w:rPr>
                <w:rFonts w:hint="default" w:ascii="宋体" w:hAnsi="宋体" w:eastAsia="宋体" w:cs="宋体"/>
                <w:sz w:val="24"/>
                <w:szCs w:val="24"/>
              </w:rPr>
            </w:pPr>
          </w:p>
        </w:tc>
        <w:tc>
          <w:tcPr>
            <w:tcW w:w="457" w:type="pct"/>
            <w:tcBorders>
              <w:top w:val="single" w:color="auto" w:sz="4" w:space="0"/>
              <w:left w:val="single" w:color="auto" w:sz="4" w:space="0"/>
              <w:bottom w:val="single" w:color="auto" w:sz="4" w:space="0"/>
              <w:right w:val="single" w:color="auto" w:sz="4" w:space="0"/>
            </w:tcBorders>
            <w:vAlign w:val="center"/>
          </w:tcPr>
          <w:p w14:paraId="32348688">
            <w:pPr>
              <w:ind w:firstLine="480" w:firstLineChars="200"/>
              <w:jc w:val="center"/>
              <w:rPr>
                <w:rFonts w:hint="default" w:ascii="宋体" w:hAnsi="宋体" w:eastAsia="宋体" w:cs="宋体"/>
                <w:sz w:val="24"/>
                <w:szCs w:val="24"/>
              </w:rPr>
            </w:pPr>
          </w:p>
        </w:tc>
        <w:tc>
          <w:tcPr>
            <w:tcW w:w="614" w:type="pct"/>
            <w:tcBorders>
              <w:top w:val="single" w:color="auto" w:sz="4" w:space="0"/>
              <w:left w:val="single" w:color="auto" w:sz="4" w:space="0"/>
              <w:bottom w:val="single" w:color="auto" w:sz="4" w:space="0"/>
              <w:right w:val="single" w:color="auto" w:sz="4" w:space="0"/>
            </w:tcBorders>
            <w:vAlign w:val="center"/>
          </w:tcPr>
          <w:p w14:paraId="798985E6">
            <w:pPr>
              <w:ind w:firstLine="480" w:firstLineChars="200"/>
              <w:jc w:val="center"/>
              <w:rPr>
                <w:rFonts w:hint="default" w:ascii="宋体" w:hAnsi="宋体" w:eastAsia="宋体" w:cs="宋体"/>
                <w:sz w:val="24"/>
                <w:szCs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7DD9DBD4">
            <w:pPr>
              <w:ind w:firstLine="480" w:firstLineChars="200"/>
              <w:jc w:val="center"/>
              <w:rPr>
                <w:rFonts w:hint="default" w:ascii="宋体" w:hAnsi="宋体" w:eastAsia="宋体" w:cs="宋体"/>
                <w:sz w:val="24"/>
                <w:szCs w:val="24"/>
              </w:rPr>
            </w:pPr>
          </w:p>
        </w:tc>
        <w:tc>
          <w:tcPr>
            <w:tcW w:w="836" w:type="pct"/>
            <w:tcBorders>
              <w:top w:val="single" w:color="auto" w:sz="4" w:space="0"/>
              <w:left w:val="single" w:color="auto" w:sz="4" w:space="0"/>
              <w:bottom w:val="single" w:color="auto" w:sz="4" w:space="0"/>
              <w:right w:val="single" w:color="auto" w:sz="12" w:space="0"/>
            </w:tcBorders>
            <w:vAlign w:val="center"/>
          </w:tcPr>
          <w:p w14:paraId="47A9D2EE">
            <w:pPr>
              <w:ind w:firstLine="480" w:firstLineChars="200"/>
              <w:jc w:val="center"/>
              <w:rPr>
                <w:rFonts w:hint="default" w:ascii="宋体" w:hAnsi="宋体" w:eastAsia="宋体" w:cs="宋体"/>
                <w:sz w:val="24"/>
                <w:szCs w:val="24"/>
              </w:rPr>
            </w:pPr>
          </w:p>
        </w:tc>
      </w:tr>
      <w:tr w14:paraId="632D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000" w:type="pct"/>
            <w:gridSpan w:val="7"/>
            <w:tcBorders>
              <w:top w:val="single" w:color="auto" w:sz="4" w:space="0"/>
              <w:left w:val="single" w:color="auto" w:sz="12" w:space="0"/>
              <w:bottom w:val="single" w:color="auto" w:sz="12" w:space="0"/>
              <w:right w:val="single" w:color="auto" w:sz="12" w:space="0"/>
            </w:tcBorders>
            <w:vAlign w:val="center"/>
          </w:tcPr>
          <w:p w14:paraId="0111049E">
            <w:pPr>
              <w:ind w:firstLine="480" w:firstLineChars="200"/>
              <w:jc w:val="left"/>
              <w:rPr>
                <w:rFonts w:hint="default" w:ascii="宋体" w:hAnsi="宋体" w:eastAsia="宋体" w:cs="宋体"/>
                <w:spacing w:val="0"/>
                <w:sz w:val="24"/>
                <w:szCs w:val="24"/>
                <w:u w:val="none"/>
              </w:rPr>
            </w:pPr>
            <w:r>
              <w:rPr>
                <w:rFonts w:hint="default" w:ascii="宋体" w:hAnsi="宋体" w:eastAsia="宋体" w:cs="宋体"/>
                <w:sz w:val="24"/>
                <w:szCs w:val="24"/>
              </w:rPr>
              <w:t>备注：</w:t>
            </w:r>
            <w:r>
              <w:rPr>
                <w:rFonts w:hint="default" w:ascii="宋体" w:hAnsi="宋体" w:eastAsia="宋体" w:cs="宋体"/>
                <w:sz w:val="24"/>
                <w:szCs w:val="24"/>
                <w:lang w:val="en-US" w:eastAsia="zh-CN"/>
              </w:rPr>
              <w:t>1.</w:t>
            </w:r>
            <w:r>
              <w:rPr>
                <w:rFonts w:hint="default" w:ascii="宋体" w:hAnsi="宋体" w:eastAsia="宋体" w:cs="宋体"/>
                <w:sz w:val="24"/>
                <w:szCs w:val="24"/>
              </w:rPr>
              <w:t>本合同金额及人数为全年预估，具体采购人数及金额根据当次采购实际结算，</w:t>
            </w:r>
            <w:r>
              <w:rPr>
                <w:rFonts w:hint="default" w:ascii="宋体" w:hAnsi="宋体" w:eastAsia="宋体" w:cs="宋体"/>
                <w:sz w:val="24"/>
                <w:szCs w:val="24"/>
                <w:u w:val="single"/>
              </w:rPr>
              <w:t>配</w:t>
            </w:r>
            <w:r>
              <w:rPr>
                <w:rFonts w:hint="default" w:ascii="宋体" w:hAnsi="宋体" w:eastAsia="宋体" w:cs="宋体"/>
                <w:spacing w:val="0"/>
                <w:sz w:val="24"/>
                <w:szCs w:val="24"/>
                <w:u w:val="single"/>
              </w:rPr>
              <w:t>增率不受当次采购人数、金额限制而改变。</w:t>
            </w:r>
          </w:p>
          <w:p w14:paraId="0DF6B4C1">
            <w:pPr>
              <w:ind w:firstLine="480" w:firstLineChars="200"/>
              <w:jc w:val="left"/>
              <w:rPr>
                <w:rFonts w:hint="default" w:ascii="宋体" w:hAnsi="宋体" w:eastAsia="宋体" w:cs="宋体"/>
                <w:spacing w:val="0"/>
                <w:sz w:val="24"/>
                <w:szCs w:val="24"/>
                <w:u w:val="none"/>
              </w:rPr>
            </w:pPr>
            <w:r>
              <w:rPr>
                <w:rFonts w:hint="default" w:ascii="宋体" w:hAnsi="宋体" w:eastAsia="宋体" w:cs="宋体"/>
                <w:spacing w:val="0"/>
                <w:sz w:val="24"/>
                <w:szCs w:val="24"/>
                <w:lang w:val="en-US" w:eastAsia="zh-CN"/>
              </w:rPr>
              <w:t>2.</w:t>
            </w:r>
            <w:r>
              <w:rPr>
                <w:rFonts w:hint="default" w:ascii="宋体" w:hAnsi="宋体" w:eastAsia="宋体" w:cs="宋体"/>
                <w:spacing w:val="0"/>
                <w:sz w:val="24"/>
                <w:szCs w:val="24"/>
              </w:rPr>
              <w:t>以上价格(含税税率为</w:t>
            </w:r>
            <w:r>
              <w:rPr>
                <w:rFonts w:hint="default" w:cs="宋体"/>
                <w:spacing w:val="0"/>
                <w:sz w:val="24"/>
                <w:szCs w:val="24"/>
                <w:lang w:val="en-US" w:eastAsia="zh-CN"/>
              </w:rPr>
              <w:t xml:space="preserve">  </w:t>
            </w:r>
            <w:r>
              <w:rPr>
                <w:rFonts w:hint="default" w:ascii="宋体" w:hAnsi="宋体" w:eastAsia="宋体" w:cs="宋体"/>
                <w:spacing w:val="0"/>
                <w:sz w:val="24"/>
                <w:szCs w:val="24"/>
              </w:rPr>
              <w:t>%)为乙方为完成该项目所涉及到的一切相关费用，甲方不再支付乙方</w:t>
            </w:r>
            <w:r>
              <w:rPr>
                <w:rFonts w:hint="default" w:cs="宋体"/>
                <w:spacing w:val="0"/>
                <w:sz w:val="24"/>
                <w:szCs w:val="24"/>
                <w:lang w:val="en-US" w:eastAsia="zh-CN"/>
              </w:rPr>
              <w:t>其</w:t>
            </w:r>
            <w:r>
              <w:rPr>
                <w:rFonts w:hint="default" w:ascii="宋体" w:hAnsi="宋体" w:eastAsia="宋体" w:cs="宋体"/>
                <w:spacing w:val="0"/>
                <w:sz w:val="24"/>
                <w:szCs w:val="24"/>
              </w:rPr>
              <w:t>他任何费用。</w:t>
            </w:r>
          </w:p>
        </w:tc>
      </w:tr>
    </w:tbl>
    <w:p w14:paraId="1A086C65">
      <w:pPr>
        <w:spacing w:line="500" w:lineRule="exact"/>
        <w:ind w:firstLine="480" w:firstLineChars="200"/>
        <w:rPr>
          <w:rFonts w:hint="default" w:ascii="宋体" w:hAnsi="宋体" w:eastAsia="宋体" w:cs="宋体"/>
          <w:sz w:val="24"/>
          <w:szCs w:val="24"/>
        </w:rPr>
      </w:pPr>
      <w:r>
        <w:rPr>
          <w:rFonts w:hint="default" w:ascii="宋体" w:hAnsi="宋体" w:eastAsia="宋体" w:cs="宋体"/>
          <w:spacing w:val="0"/>
          <w:sz w:val="24"/>
          <w:szCs w:val="24"/>
        </w:rPr>
        <w:t>1.本合同采用固定单价的方式，暂定合同总金额(含增值税)</w:t>
      </w:r>
      <w:r>
        <w:rPr>
          <w:rFonts w:hint="default" w:ascii="宋体" w:hAnsi="宋体" w:eastAsia="宋体" w:cs="宋体"/>
          <w:spacing w:val="0"/>
          <w:sz w:val="24"/>
          <w:szCs w:val="24"/>
          <w:u w:val="none"/>
        </w:rPr>
        <w:t>¥</w:t>
      </w:r>
      <w:r>
        <w:rPr>
          <w:rFonts w:hint="default" w:ascii="宋体" w:hAnsi="宋体" w:eastAsia="宋体" w:cs="宋体"/>
          <w:spacing w:val="0"/>
          <w:sz w:val="24"/>
          <w:szCs w:val="24"/>
          <w:u w:val="none"/>
          <w:lang w:val="en-US" w:eastAsia="zh-CN"/>
        </w:rPr>
        <w:t xml:space="preserve">   </w:t>
      </w:r>
      <w:r>
        <w:rPr>
          <w:rFonts w:hint="default" w:ascii="宋体" w:hAnsi="宋体" w:eastAsia="宋体" w:cs="宋体"/>
          <w:spacing w:val="0"/>
          <w:sz w:val="24"/>
          <w:szCs w:val="24"/>
          <w:u w:val="none"/>
        </w:rPr>
        <w:t>元(大写：人民币</w:t>
      </w:r>
      <w:r>
        <w:rPr>
          <w:rFonts w:hint="default" w:cs="宋体"/>
          <w:spacing w:val="0"/>
          <w:sz w:val="24"/>
          <w:szCs w:val="24"/>
          <w:u w:val="none"/>
          <w:lang w:val="en-US" w:eastAsia="zh-CN"/>
        </w:rPr>
        <w:t xml:space="preserve">   </w:t>
      </w:r>
      <w:r>
        <w:rPr>
          <w:rFonts w:hint="default" w:ascii="宋体" w:hAnsi="宋体" w:eastAsia="宋体" w:cs="宋体"/>
          <w:spacing w:val="0"/>
          <w:sz w:val="24"/>
          <w:szCs w:val="24"/>
          <w:u w:val="none"/>
        </w:rPr>
        <w:t>)。</w:t>
      </w:r>
      <w:r>
        <w:rPr>
          <w:rFonts w:hint="default" w:ascii="宋体" w:hAnsi="宋体" w:eastAsia="宋体" w:cs="宋体"/>
          <w:spacing w:val="0"/>
          <w:sz w:val="24"/>
          <w:szCs w:val="24"/>
        </w:rPr>
        <w:t>其中不含税价为¥</w:t>
      </w:r>
      <w:r>
        <w:rPr>
          <w:rFonts w:hint="default" w:ascii="宋体" w:hAnsi="宋体" w:eastAsia="宋体" w:cs="宋体"/>
          <w:spacing w:val="0"/>
          <w:sz w:val="24"/>
          <w:szCs w:val="24"/>
          <w:lang w:val="en-US" w:eastAsia="zh-CN"/>
        </w:rPr>
        <w:t xml:space="preserve">   </w:t>
      </w:r>
      <w:r>
        <w:rPr>
          <w:rFonts w:hint="default" w:ascii="宋体" w:hAnsi="宋体" w:eastAsia="宋体" w:cs="宋体"/>
          <w:spacing w:val="0"/>
          <w:sz w:val="24"/>
          <w:szCs w:val="24"/>
        </w:rPr>
        <w:t>元(大写：人民币</w:t>
      </w:r>
      <w:r>
        <w:rPr>
          <w:rFonts w:hint="default" w:ascii="宋体" w:hAnsi="宋体" w:eastAsia="宋体" w:cs="宋体"/>
          <w:spacing w:val="0"/>
          <w:sz w:val="24"/>
          <w:szCs w:val="24"/>
          <w:lang w:val="en-US" w:eastAsia="zh-CN"/>
        </w:rPr>
        <w:t xml:space="preserve">   </w:t>
      </w:r>
      <w:r>
        <w:rPr>
          <w:rFonts w:hint="default" w:ascii="宋体" w:hAnsi="宋体" w:eastAsia="宋体" w:cs="宋体"/>
          <w:spacing w:val="0"/>
          <w:sz w:val="24"/>
          <w:szCs w:val="24"/>
        </w:rPr>
        <w:t>),增值税税率为</w:t>
      </w:r>
      <w:r>
        <w:rPr>
          <w:rFonts w:hint="default" w:ascii="宋体" w:hAnsi="宋体" w:eastAsia="宋体" w:cs="宋体"/>
          <w:spacing w:val="0"/>
          <w:sz w:val="24"/>
          <w:szCs w:val="24"/>
          <w:lang w:val="en-US" w:eastAsia="zh-CN"/>
        </w:rPr>
        <w:t xml:space="preserve">  </w:t>
      </w:r>
      <w:r>
        <w:rPr>
          <w:rFonts w:hint="default" w:ascii="宋体" w:hAnsi="宋体" w:eastAsia="宋体" w:cs="宋体"/>
          <w:spacing w:val="0"/>
          <w:sz w:val="24"/>
          <w:szCs w:val="24"/>
        </w:rPr>
        <w:t>%,增值税为¥</w:t>
      </w:r>
      <w:r>
        <w:rPr>
          <w:rFonts w:hint="default" w:ascii="宋体" w:hAnsi="宋体" w:eastAsia="宋体" w:cs="宋体"/>
          <w:spacing w:val="0"/>
          <w:sz w:val="24"/>
          <w:szCs w:val="24"/>
          <w:lang w:val="en-US" w:eastAsia="zh-CN"/>
        </w:rPr>
        <w:t xml:space="preserve">   </w:t>
      </w:r>
      <w:r>
        <w:rPr>
          <w:rFonts w:hint="default" w:ascii="宋体" w:hAnsi="宋体" w:eastAsia="宋体" w:cs="宋体"/>
          <w:spacing w:val="0"/>
          <w:sz w:val="24"/>
          <w:szCs w:val="24"/>
        </w:rPr>
        <w:t>元(大写：人民币</w:t>
      </w:r>
      <w:r>
        <w:rPr>
          <w:rFonts w:hint="default" w:ascii="宋体" w:hAnsi="宋体" w:eastAsia="宋体" w:cs="宋体"/>
          <w:spacing w:val="0"/>
          <w:sz w:val="24"/>
          <w:szCs w:val="24"/>
          <w:lang w:val="en-US" w:eastAsia="zh-CN"/>
        </w:rPr>
        <w:t xml:space="preserve">   </w:t>
      </w:r>
      <w:r>
        <w:rPr>
          <w:rFonts w:hint="default" w:ascii="宋体" w:hAnsi="宋体" w:eastAsia="宋体" w:cs="宋体"/>
          <w:spacing w:val="0"/>
          <w:sz w:val="24"/>
          <w:szCs w:val="24"/>
        </w:rPr>
        <w:t>),最终金额以甲方实际采购数量结算为准，但结算金额不得超本合同暂定</w:t>
      </w:r>
      <w:r>
        <w:rPr>
          <w:rFonts w:hint="eastAsia" w:cs="宋体"/>
          <w:spacing w:val="0"/>
          <w:sz w:val="24"/>
          <w:szCs w:val="24"/>
          <w:lang w:val="en-US" w:eastAsia="zh-CN"/>
        </w:rPr>
        <w:t>总价</w:t>
      </w:r>
      <w:r>
        <w:rPr>
          <w:rFonts w:hint="default" w:ascii="宋体" w:hAnsi="宋体" w:eastAsia="宋体" w:cs="宋体"/>
          <w:spacing w:val="0"/>
          <w:sz w:val="24"/>
          <w:szCs w:val="24"/>
        </w:rPr>
        <w:t>。</w:t>
      </w:r>
    </w:p>
    <w:p w14:paraId="5D5289BA">
      <w:pPr>
        <w:spacing w:line="500" w:lineRule="exact"/>
        <w:ind w:firstLine="480" w:firstLineChars="200"/>
        <w:rPr>
          <w:rFonts w:hint="eastAsia" w:ascii="宋体" w:hAnsi="宋体" w:eastAsia="宋体" w:cs="宋体"/>
          <w:color w:val="auto"/>
          <w:spacing w:val="0"/>
          <w:sz w:val="24"/>
          <w:szCs w:val="24"/>
          <w:u w:val="none"/>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支付方式：</w:t>
      </w:r>
      <w:r>
        <w:rPr>
          <w:rFonts w:hint="eastAsia" w:cs="宋体"/>
          <w:spacing w:val="0"/>
          <w:sz w:val="24"/>
          <w:szCs w:val="24"/>
          <w:lang w:val="en-US" w:eastAsia="zh-CN"/>
        </w:rPr>
        <w:t>分两次结算</w:t>
      </w:r>
      <w:r>
        <w:rPr>
          <w:rFonts w:hint="eastAsia" w:cs="宋体"/>
          <w:color w:val="auto"/>
          <w:spacing w:val="0"/>
          <w:sz w:val="24"/>
          <w:szCs w:val="24"/>
          <w:u w:val="none"/>
          <w:lang w:val="en-US" w:eastAsia="zh-CN"/>
        </w:rPr>
        <w:t>半年</w:t>
      </w:r>
      <w:r>
        <w:rPr>
          <w:rFonts w:hint="eastAsia" w:ascii="宋体" w:hAnsi="宋体" w:eastAsia="宋体" w:cs="宋体"/>
          <w:color w:val="auto"/>
          <w:spacing w:val="0"/>
          <w:sz w:val="24"/>
          <w:szCs w:val="24"/>
          <w:u w:val="none"/>
        </w:rPr>
        <w:t>结算</w:t>
      </w:r>
      <w:r>
        <w:rPr>
          <w:rFonts w:hint="eastAsia" w:cs="宋体"/>
          <w:color w:val="auto"/>
          <w:spacing w:val="0"/>
          <w:sz w:val="24"/>
          <w:szCs w:val="24"/>
          <w:u w:val="none"/>
          <w:lang w:val="en-US" w:eastAsia="zh-CN"/>
        </w:rPr>
        <w:t>及支付一次</w:t>
      </w:r>
      <w:r>
        <w:rPr>
          <w:rFonts w:hint="eastAsia" w:ascii="宋体" w:hAnsi="宋体" w:eastAsia="宋体" w:cs="宋体"/>
          <w:color w:val="auto"/>
          <w:spacing w:val="0"/>
          <w:sz w:val="24"/>
          <w:szCs w:val="24"/>
          <w:u w:val="none"/>
        </w:rPr>
        <w:t>，甲方当次验收合格并收到乙方开具当次结算金额的增值税普通发票后30日内向乙方支付当次的全部货款。</w:t>
      </w:r>
    </w:p>
    <w:p w14:paraId="4441372D">
      <w:pPr>
        <w:spacing w:line="500" w:lineRule="exact"/>
        <w:ind w:firstLine="480" w:firstLineChars="200"/>
        <w:rPr>
          <w:rFonts w:hint="eastAsia" w:ascii="宋体" w:hAnsi="宋体" w:eastAsia="宋体" w:cs="宋体"/>
          <w:color w:val="auto"/>
          <w:spacing w:val="0"/>
          <w:sz w:val="24"/>
          <w:szCs w:val="24"/>
          <w:u w:val="none"/>
          <w:lang w:eastAsia="zh-CN"/>
        </w:rPr>
      </w:pPr>
      <w:r>
        <w:rPr>
          <w:rFonts w:hint="eastAsia" w:cs="宋体"/>
          <w:color w:val="auto"/>
          <w:spacing w:val="0"/>
          <w:sz w:val="24"/>
          <w:szCs w:val="24"/>
          <w:u w:val="none"/>
          <w:lang w:val="en-US" w:eastAsia="zh-CN"/>
        </w:rPr>
        <w:t>3.履约保证金：</w:t>
      </w:r>
      <w:r>
        <w:rPr>
          <w:rFonts w:hint="eastAsia" w:ascii="宋体" w:hAnsi="宋体" w:eastAsia="宋体" w:cs="宋体"/>
          <w:color w:val="auto"/>
          <w:spacing w:val="0"/>
          <w:sz w:val="24"/>
          <w:szCs w:val="24"/>
          <w:u w:val="none"/>
          <w:lang w:val="en-US" w:eastAsia="zh-CN"/>
        </w:rPr>
        <w:t>为签约合同价的5%。待合同约定条款全部履行完毕后予以返还。</w:t>
      </w:r>
    </w:p>
    <w:p w14:paraId="2A61AD0C">
      <w:pPr>
        <w:numPr>
          <w:ilvl w:val="0"/>
          <w:numId w:val="0"/>
        </w:numPr>
        <w:spacing w:line="500" w:lineRule="exact"/>
        <w:ind w:firstLine="482" w:firstLineChars="200"/>
        <w:rPr>
          <w:rFonts w:hint="eastAsia" w:ascii="宋体" w:hAnsi="宋体" w:eastAsia="宋体" w:cs="宋体"/>
          <w:b/>
          <w:bCs/>
          <w:color w:val="auto"/>
          <w:spacing w:val="0"/>
          <w:sz w:val="24"/>
          <w:szCs w:val="24"/>
          <w:u w:val="none"/>
          <w:lang w:val="en-US" w:eastAsia="zh-CN"/>
        </w:rPr>
      </w:pPr>
      <w:r>
        <w:rPr>
          <w:rFonts w:hint="eastAsia" w:ascii="宋体" w:hAnsi="宋体" w:eastAsia="宋体" w:cs="宋体"/>
          <w:b/>
          <w:bCs/>
          <w:color w:val="auto"/>
          <w:spacing w:val="0"/>
          <w:sz w:val="24"/>
          <w:szCs w:val="24"/>
          <w:u w:val="none"/>
          <w:lang w:val="en-US" w:eastAsia="zh-CN"/>
        </w:rPr>
        <w:t>三、提取期限及方式</w:t>
      </w:r>
    </w:p>
    <w:p w14:paraId="7D7744F6">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年度法定节假日慰问品的提取期限(涵盖线上平台及实体店面两种提取方式)以202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年度法定节日的分批发放时间为准,自当次发放之日起计算，</w:t>
      </w:r>
      <w:r>
        <w:rPr>
          <w:rFonts w:hint="eastAsia" w:ascii="宋体" w:hAnsi="宋体" w:eastAsia="宋体" w:cs="宋体"/>
          <w:spacing w:val="0"/>
          <w:sz w:val="24"/>
          <w:szCs w:val="24"/>
          <w:u w:val="none"/>
        </w:rPr>
        <w:t>有效期为</w:t>
      </w:r>
      <w:r>
        <w:rPr>
          <w:rFonts w:hint="eastAsia" w:cs="宋体"/>
          <w:spacing w:val="0"/>
          <w:sz w:val="24"/>
          <w:szCs w:val="24"/>
          <w:u w:val="none"/>
          <w:lang w:val="en-US" w:eastAsia="zh-CN"/>
        </w:rPr>
        <w:t>3年</w:t>
      </w:r>
      <w:r>
        <w:rPr>
          <w:rFonts w:hint="eastAsia" w:ascii="宋体" w:hAnsi="宋体" w:eastAsia="宋体" w:cs="宋体"/>
          <w:spacing w:val="0"/>
          <w:sz w:val="24"/>
          <w:szCs w:val="24"/>
        </w:rPr>
        <w:t>。</w:t>
      </w:r>
    </w:p>
    <w:p w14:paraId="219C407D">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highlight w:val="none"/>
          <w:lang w:val="en-US" w:eastAsia="zh-CN"/>
        </w:rPr>
        <w:t>2</w:t>
      </w:r>
      <w:r>
        <w:rPr>
          <w:rFonts w:hint="eastAsia" w:ascii="宋体" w:hAnsi="宋体" w:eastAsia="宋体" w:cs="宋体"/>
          <w:spacing w:val="0"/>
          <w:sz w:val="24"/>
          <w:szCs w:val="24"/>
          <w:highlight w:val="none"/>
        </w:rPr>
        <w:t>.甲方在每次采购时向乙方提供一份已加盖印章的采购清单(详情见附件一),乙方应在甲方提供已加盖印章的采购清单后的五日内</w:t>
      </w:r>
      <w:r>
        <w:rPr>
          <w:rFonts w:hint="eastAsia" w:ascii="宋体" w:hAnsi="宋体" w:eastAsia="宋体" w:cs="宋体"/>
          <w:spacing w:val="0"/>
          <w:sz w:val="24"/>
          <w:szCs w:val="24"/>
        </w:rPr>
        <w:t>向甲方发货。乙方每逾期一日则须支付当次法定节日慰问品总金额的5‰的逾期违约金支付给甲方。</w:t>
      </w:r>
    </w:p>
    <w:p w14:paraId="0E2EB578">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.乙方授权委托</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(身份证号：</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),联系电话：</w:t>
      </w:r>
      <w:r>
        <w:rPr>
          <w:rFonts w:hint="eastAsia" w:ascii="宋体" w:hAnsi="宋体" w:eastAsia="宋体" w:cs="宋体"/>
          <w:spacing w:val="0"/>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0"/>
          <w:sz w:val="24"/>
          <w:szCs w:val="24"/>
        </w:rPr>
        <w:t>作为乙方的合同履行代理人(经办人)与甲方具体履行本合同约定事项，包括但不限于含确认产品及确认产品的发货数量是否与采购数量一致、货款核对等事项。</w:t>
      </w:r>
    </w:p>
    <w:p w14:paraId="3F2A5E70">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.本合同所有款项需支付至乙方下列账户：</w:t>
      </w:r>
    </w:p>
    <w:p w14:paraId="25E33B9A">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u w:val="none"/>
        </w:rPr>
        <w:t>开户名称：</w:t>
      </w:r>
    </w:p>
    <w:p w14:paraId="67EC9ACB">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u w:val="none"/>
        </w:rPr>
        <w:t>开户行：</w:t>
      </w:r>
    </w:p>
    <w:p w14:paraId="3E7A9E8D">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u w:val="none"/>
        </w:rPr>
        <w:t>银行账户：</w:t>
      </w:r>
    </w:p>
    <w:p w14:paraId="615F037D">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u w:val="none"/>
        </w:rPr>
        <w:t>联行号：</w:t>
      </w:r>
    </w:p>
    <w:p w14:paraId="360D743D">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.甲方发票信息</w:t>
      </w:r>
    </w:p>
    <w:p w14:paraId="560A5E99">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发票类型：增值税普通发票(签订合同时适用税率为：</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%,本合同中货物单价为含税价，总价为含税总价，后期如遇国家增值税适用税率调整按照开具发票时适用税率执行，合同约定的含税单价及含税总价不变。)</w:t>
      </w:r>
    </w:p>
    <w:p w14:paraId="06B3DD6A">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单位名称：</w:t>
      </w:r>
    </w:p>
    <w:p w14:paraId="282718B5">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纳税人识别号：</w:t>
      </w:r>
    </w:p>
    <w:p w14:paraId="563B096F">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地址、电话：</w:t>
      </w:r>
    </w:p>
    <w:p w14:paraId="162F813D">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开户银行：</w:t>
      </w:r>
    </w:p>
    <w:p w14:paraId="69FCAB72">
      <w:pPr>
        <w:spacing w:line="500" w:lineRule="exact"/>
        <w:ind w:firstLine="480" w:firstLineChars="200"/>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t>银行账号：</w:t>
      </w:r>
    </w:p>
    <w:p w14:paraId="36A6BD19">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pacing w:val="0"/>
          <w:sz w:val="24"/>
          <w:szCs w:val="24"/>
          <w:lang w:val="en-US" w:eastAsia="zh-CN"/>
        </w:rPr>
        <w:t>四</w:t>
      </w:r>
      <w:r>
        <w:rPr>
          <w:rFonts w:hint="eastAsia" w:ascii="宋体" w:hAnsi="宋体" w:eastAsia="宋体" w:cs="宋体"/>
          <w:b/>
          <w:bCs/>
          <w:spacing w:val="0"/>
          <w:sz w:val="24"/>
          <w:szCs w:val="24"/>
        </w:rPr>
        <w:t>、其他要求条款</w:t>
      </w:r>
    </w:p>
    <w:p w14:paraId="2A1F4901">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z w:val="24"/>
          <w:szCs w:val="24"/>
        </w:rPr>
        <mc:AlternateContent>
          <mc:Choice Requires="wps">
            <w:drawing>
              <wp:anchor distT="0" distB="0" distL="0" distR="0" simplePos="0" relativeHeight="251661312" behindDoc="0" locked="0" layoutInCell="1" allowOverlap="1">
                <wp:simplePos x="0" y="0"/>
                <wp:positionH relativeFrom="column">
                  <wp:posOffset>6247130</wp:posOffset>
                </wp:positionH>
                <wp:positionV relativeFrom="paragraph">
                  <wp:posOffset>173990</wp:posOffset>
                </wp:positionV>
                <wp:extent cx="97155" cy="131445"/>
                <wp:effectExtent l="0" t="17145" r="0" b="0"/>
                <wp:wrapNone/>
                <wp:docPr id="6" name="TextBox 12"/>
                <wp:cNvGraphicFramePr/>
                <a:graphic xmlns:a="http://schemas.openxmlformats.org/drawingml/2006/main">
                  <a:graphicData uri="http://schemas.microsoft.com/office/word/2010/wordprocessingShape">
                    <wps:wsp>
                      <wps:cNvSpPr txBox="1"/>
                      <wps:spPr>
                        <a:xfrm rot="5400000">
                          <a:off x="6247555" y="173994"/>
                          <a:ext cx="97155" cy="13144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1F4F26A">
                            <w:pPr>
                              <w:pStyle w:val="6"/>
                              <w:spacing w:before="43" w:line="220" w:lineRule="auto"/>
                              <w:ind w:left="20"/>
                              <w:rPr>
                                <w:sz w:val="12"/>
                                <w:szCs w:val="12"/>
                              </w:rPr>
                            </w:pPr>
                            <w:r>
                              <w:rPr>
                                <w:sz w:val="12"/>
                                <w:szCs w:val="12"/>
                              </w:rPr>
                              <w:t>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491.9pt;margin-top:13.7pt;height:10.35pt;width:7.65pt;rotation:5898240f;z-index:251661312;mso-width-relative:page;mso-height-relative:page;" filled="f" stroked="f" coordsize="21600,21600" o:gfxdata="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BUeUnYAAAACQEAAA8AAAAA&#10;AAAAAQAgAAAAIgAAAGRycy9kb3ducmV2LnhtbFBLAQIUABQAAAAIAIdO4kBm90WmTQIAAJ8EAAAO&#10;AAAAAAAAAAEAIAAAACcBAABkcnMvZTJvRG9jLnhtbFBLBQYAAAAABgAGAFkBAADmBQAAAAA=&#10;">
                <v:fill on="f" focussize="0,0"/>
                <v:stroke on="f" weight="0pt" miterlimit="0" joinstyle="miter"/>
                <v:imagedata o:title=""/>
                <o:lock v:ext="edit" aspectratio="f"/>
                <v:textbox inset="0mm,0mm,0mm,0mm">
                  <w:txbxContent>
                    <w:p w14:paraId="61F4F26A">
                      <w:pPr>
                        <w:pStyle w:val="6"/>
                        <w:spacing w:before="43" w:line="220" w:lineRule="auto"/>
                        <w:ind w:left="20"/>
                        <w:rPr>
                          <w:sz w:val="12"/>
                          <w:szCs w:val="12"/>
                        </w:rPr>
                      </w:pPr>
                      <w:r>
                        <w:rPr>
                          <w:sz w:val="12"/>
                          <w:szCs w:val="12"/>
                        </w:rPr>
                        <w:t>哺</w:t>
                      </w:r>
                    </w:p>
                  </w:txbxContent>
                </v:textbox>
              </v:shape>
            </w:pict>
          </mc:Fallback>
        </mc:AlternateContent>
      </w:r>
      <w:r>
        <w:rPr>
          <w:rFonts w:hint="eastAsia" w:ascii="宋体" w:hAnsi="宋体" w:eastAsia="宋体" w:cs="宋体"/>
          <w:sz w:val="24"/>
          <w:szCs w:val="24"/>
        </w:rPr>
        <w:drawing>
          <wp:anchor distT="0" distB="0" distL="0" distR="0" simplePos="0" relativeHeight="251660288" behindDoc="1" locked="0" layoutInCell="1" allowOverlap="1">
            <wp:simplePos x="0" y="0"/>
            <wp:positionH relativeFrom="column">
              <wp:posOffset>6257925</wp:posOffset>
            </wp:positionH>
            <wp:positionV relativeFrom="paragraph">
              <wp:posOffset>190500</wp:posOffset>
            </wp:positionV>
            <wp:extent cx="93980" cy="1441450"/>
            <wp:effectExtent l="0" t="0" r="1270" b="6350"/>
            <wp:wrapNone/>
            <wp:docPr id="8" name="IM 14"/>
            <wp:cNvGraphicFramePr/>
            <a:graphic xmlns:a="http://schemas.openxmlformats.org/drawingml/2006/main">
              <a:graphicData uri="http://schemas.openxmlformats.org/drawingml/2006/picture">
                <pic:pic xmlns:pic="http://schemas.openxmlformats.org/drawingml/2006/picture">
                  <pic:nvPicPr>
                    <pic:cNvPr id="8" name="IM 14"/>
                    <pic:cNvPicPr/>
                  </pic:nvPicPr>
                  <pic:blipFill>
                    <a:blip r:embed="rId7"/>
                    <a:stretch>
                      <a:fillRect/>
                    </a:stretch>
                  </pic:blipFill>
                  <pic:spPr>
                    <a:xfrm>
                      <a:off x="0" y="0"/>
                      <a:ext cx="93779" cy="1441708"/>
                    </a:xfrm>
                    <a:prstGeom prst="rect">
                      <a:avLst/>
                    </a:prstGeom>
                  </pic:spPr>
                </pic:pic>
              </a:graphicData>
            </a:graphic>
          </wp:anchor>
        </w:drawing>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乙方应当符合国家食品经营的相关规定，且提供的慰问品应为原厂质保期内质量合格 的合法销售商品，商品价格不得高于国家规定和市场价格。</w:t>
      </w:r>
    </w:p>
    <w:p w14:paraId="3CEE24A7">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乙方应满足现行有效的国家相关标准、行业标准、地方标准以及相关规范等。质量、安全、技术规格、物理特性等参数应满足国家、行业、地方相关标准和要求。</w:t>
      </w:r>
    </w:p>
    <w:p w14:paraId="3C10B8BC">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3.乙方所供货物符合国家安全标准和质量标准，因此给采购人造成的一切损失由供应商 全部承担。</w:t>
      </w:r>
    </w:p>
    <w:p w14:paraId="55EC1C4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4.若因货物质量问题或所供货物中出现残次品，乙方</w:t>
      </w:r>
      <w:r>
        <w:rPr>
          <w:rFonts w:hint="eastAsia" w:ascii="宋体" w:hAnsi="宋体" w:eastAsia="宋体" w:cs="宋体"/>
          <w:spacing w:val="0"/>
          <w:sz w:val="24"/>
          <w:szCs w:val="24"/>
        </w:rPr>
        <w:t>应及时免费更换至符合要求的货物。</w:t>
      </w:r>
    </w:p>
    <w:p w14:paraId="0D04053E">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5.乙方应保证所提供的服务或其任何一部分均不会侵犯任何第三方的专利权、商标权或著作权。</w:t>
      </w:r>
    </w:p>
    <w:p w14:paraId="310645F8">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 xml:space="preserve">6.乙方保证所提供的服务的所有权完全属于乙方且无任何抵押、查封等产权瑕疵。如有 </w:t>
      </w:r>
      <w:r>
        <w:rPr>
          <w:rFonts w:hint="eastAsia" w:ascii="宋体" w:hAnsi="宋体" w:eastAsia="宋体" w:cs="宋体"/>
          <w:sz w:val="24"/>
          <w:szCs w:val="24"/>
        </w:rPr>
        <w:t>产权瑕疵的，视为乙方违约。乙方应负担由</w:t>
      </w:r>
      <w:r>
        <w:rPr>
          <w:rFonts w:hint="eastAsia" w:ascii="宋体" w:hAnsi="宋体" w:eastAsia="宋体" w:cs="宋体"/>
          <w:spacing w:val="0"/>
          <w:sz w:val="24"/>
          <w:szCs w:val="24"/>
        </w:rPr>
        <w:t>此而产生的一切损失。</w:t>
      </w:r>
    </w:p>
    <w:p w14:paraId="2D164155">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pacing w:val="0"/>
          <w:sz w:val="24"/>
          <w:szCs w:val="24"/>
          <w:lang w:val="en-US" w:eastAsia="zh-CN"/>
        </w:rPr>
        <w:t>五</w:t>
      </w:r>
      <w:r>
        <w:rPr>
          <w:rFonts w:hint="eastAsia" w:ascii="宋体" w:hAnsi="宋体" w:eastAsia="宋体" w:cs="宋体"/>
          <w:b/>
          <w:bCs/>
          <w:spacing w:val="0"/>
          <w:sz w:val="24"/>
          <w:szCs w:val="24"/>
        </w:rPr>
        <w:t>、不可抗力条款</w:t>
      </w:r>
    </w:p>
    <w:p w14:paraId="1BD00012">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1.本条款项下不可抗力指下列事件：疫情、战争、动乱、瘟疫、洪水、地震、风暴或其他自然灾害及社会事件、政府行为等。</w:t>
      </w:r>
    </w:p>
    <w:p w14:paraId="04016049">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2.任何一方由于不可抗力原因无法履行合同时，应在不可抗力事件发生之日起3日内向 对方通报，以减轻可能给对方造成的损失，在取得有关机构出具的不可抗力证明和对方谅</w:t>
      </w:r>
      <w:r>
        <w:rPr>
          <w:rFonts w:hint="eastAsia" w:ascii="宋体" w:hAnsi="宋体" w:eastAsia="宋体" w:cs="宋体"/>
          <w:sz w:val="24"/>
          <w:szCs w:val="24"/>
        </w:rPr>
        <w:t xml:space="preserve"> 解情况下，合同双方再另行协商延期履行合同或更改合同中</w:t>
      </w:r>
      <w:r>
        <w:rPr>
          <w:rFonts w:hint="eastAsia" w:ascii="宋体" w:hAnsi="宋体" w:eastAsia="宋体" w:cs="宋体"/>
          <w:spacing w:val="0"/>
          <w:sz w:val="24"/>
          <w:szCs w:val="24"/>
        </w:rPr>
        <w:t>的某些条款。</w:t>
      </w:r>
    </w:p>
    <w:p w14:paraId="1872C7C9">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pacing w:val="0"/>
          <w:sz w:val="24"/>
          <w:szCs w:val="24"/>
          <w:lang w:val="en-US" w:eastAsia="zh-CN"/>
        </w:rPr>
        <w:t>六</w:t>
      </w:r>
      <w:r>
        <w:rPr>
          <w:rFonts w:hint="eastAsia" w:ascii="宋体" w:hAnsi="宋体" w:eastAsia="宋体" w:cs="宋体"/>
          <w:b/>
          <w:bCs/>
          <w:spacing w:val="0"/>
          <w:sz w:val="24"/>
          <w:szCs w:val="24"/>
        </w:rPr>
        <w:t>、双方的权利和义务</w:t>
      </w:r>
    </w:p>
    <w:p w14:paraId="1710051B">
      <w:pPr>
        <w:spacing w:line="500" w:lineRule="exact"/>
        <w:ind w:firstLine="480" w:firstLineChars="200"/>
        <w:rPr>
          <w:rFonts w:hint="eastAsia" w:ascii="宋体" w:hAnsi="宋体" w:eastAsia="宋体" w:cs="宋体"/>
          <w:sz w:val="24"/>
          <w:szCs w:val="24"/>
        </w:rPr>
      </w:pPr>
      <w:r>
        <w:rPr>
          <w:rFonts w:hint="eastAsia" w:ascii="宋体" w:hAnsi="宋体" w:eastAsia="宋体" w:cs="宋体"/>
          <w:b w:val="0"/>
          <w:bCs w:val="0"/>
          <w:spacing w:val="0"/>
          <w:sz w:val="24"/>
          <w:szCs w:val="24"/>
          <w:lang w:eastAsia="zh-CN"/>
        </w:rPr>
        <w:t>（</w:t>
      </w:r>
      <w:r>
        <w:rPr>
          <w:rFonts w:hint="eastAsia" w:ascii="宋体" w:hAnsi="宋体" w:eastAsia="宋体" w:cs="宋体"/>
          <w:b w:val="0"/>
          <w:bCs w:val="0"/>
          <w:spacing w:val="0"/>
          <w:sz w:val="24"/>
          <w:szCs w:val="24"/>
          <w:lang w:val="en-US" w:eastAsia="zh-CN"/>
        </w:rPr>
        <w:t>一</w:t>
      </w:r>
      <w:r>
        <w:rPr>
          <w:rFonts w:hint="eastAsia" w:ascii="宋体" w:hAnsi="宋体" w:eastAsia="宋体" w:cs="宋体"/>
          <w:b w:val="0"/>
          <w:bCs w:val="0"/>
          <w:spacing w:val="0"/>
          <w:sz w:val="24"/>
          <w:szCs w:val="24"/>
          <w:lang w:eastAsia="zh-CN"/>
        </w:rPr>
        <w:t>）</w:t>
      </w:r>
      <w:r>
        <w:rPr>
          <w:rFonts w:hint="eastAsia" w:ascii="宋体" w:hAnsi="宋体" w:eastAsia="宋体" w:cs="宋体"/>
          <w:b w:val="0"/>
          <w:bCs w:val="0"/>
          <w:spacing w:val="0"/>
          <w:sz w:val="24"/>
          <w:szCs w:val="24"/>
        </w:rPr>
        <w:t>甲方权利与义务</w:t>
      </w:r>
    </w:p>
    <w:p w14:paraId="203FCEEE">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1.甲方有权对合同规定范围内乙方的服务行为进行监督和检查，拥有监管权。对甲方认</w:t>
      </w:r>
    </w:p>
    <w:p w14:paraId="7F6AEEAC">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为不合理的部分有权下达整改通知书，并要求乙方限期整改。</w:t>
      </w:r>
    </w:p>
    <w:p w14:paraId="2C2001EB">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在本合同执行期间，甲方根据实际情况(例如乙方产品/服务出现异常情况或乙方资质发生变动等影响因素)自行决定是否购买本合同期限内的202</w:t>
      </w:r>
      <w:r>
        <w:rPr>
          <w:rFonts w:hint="eastAsia" w:cs="宋体"/>
          <w:spacing w:val="0"/>
          <w:sz w:val="24"/>
          <w:szCs w:val="24"/>
          <w:lang w:val="en-US" w:eastAsia="zh-CN"/>
        </w:rPr>
        <w:t>6</w:t>
      </w:r>
      <w:r>
        <w:rPr>
          <w:rFonts w:hint="eastAsia" w:ascii="宋体" w:hAnsi="宋体" w:eastAsia="宋体" w:cs="宋体"/>
          <w:spacing w:val="0"/>
          <w:sz w:val="24"/>
          <w:szCs w:val="24"/>
        </w:rPr>
        <w:t>年度法定节日慰问品(包</w:t>
      </w:r>
      <w:r>
        <w:rPr>
          <w:rFonts w:hint="eastAsia" w:ascii="宋体" w:hAnsi="宋体" w:eastAsia="宋体" w:cs="宋体"/>
          <w:sz w:val="24"/>
          <w:szCs w:val="24"/>
        </w:rPr>
        <w:t>括元旦节慰问品、春节慰问品、劳动节慰问品、端午节慰问品、中</w:t>
      </w:r>
      <w:r>
        <w:rPr>
          <w:rFonts w:hint="eastAsia" w:ascii="宋体" w:hAnsi="宋体" w:eastAsia="宋体" w:cs="宋体"/>
          <w:spacing w:val="0"/>
          <w:sz w:val="24"/>
          <w:szCs w:val="24"/>
        </w:rPr>
        <w:t>秋节慰问品、国庆节慰问品)的权利。由此产生的任何损失，均由乙方承担。不得因甲方不采购法定节日慰问品</w:t>
      </w:r>
      <w:r>
        <w:rPr>
          <w:rFonts w:hint="eastAsia" w:ascii="宋体" w:hAnsi="宋体" w:eastAsia="宋体" w:cs="宋体"/>
          <w:sz w:val="24"/>
          <w:szCs w:val="24"/>
        </w:rPr>
        <w:t>(包含元旦节慰问品、春节慰问品、劳动节慰问品、端午节慰问品、中秋节</w:t>
      </w:r>
      <w:r>
        <w:rPr>
          <w:rFonts w:hint="eastAsia" w:ascii="宋体" w:hAnsi="宋体" w:eastAsia="宋体" w:cs="宋体"/>
          <w:spacing w:val="0"/>
          <w:sz w:val="24"/>
          <w:szCs w:val="24"/>
        </w:rPr>
        <w:t>慰问品、国庆节慰问品)而提出任何异议或索赔。</w:t>
      </w:r>
    </w:p>
    <w:p w14:paraId="381F156B">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3.甲方有权要求乙方按照本合同要求提供相应的产品。</w:t>
      </w:r>
    </w:p>
    <w:p w14:paraId="36F3F08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drawing>
          <wp:anchor distT="0" distB="0" distL="0" distR="0" simplePos="0" relativeHeight="251662336" behindDoc="1" locked="0" layoutInCell="1" allowOverlap="1">
            <wp:simplePos x="0" y="0"/>
            <wp:positionH relativeFrom="column">
              <wp:posOffset>6232525</wp:posOffset>
            </wp:positionH>
            <wp:positionV relativeFrom="paragraph">
              <wp:posOffset>310515</wp:posOffset>
            </wp:positionV>
            <wp:extent cx="93980" cy="1530985"/>
            <wp:effectExtent l="0" t="0" r="1270" b="12065"/>
            <wp:wrapNone/>
            <wp:docPr id="10" name="IM 18"/>
            <wp:cNvGraphicFramePr/>
            <a:graphic xmlns:a="http://schemas.openxmlformats.org/drawingml/2006/main">
              <a:graphicData uri="http://schemas.openxmlformats.org/drawingml/2006/picture">
                <pic:pic xmlns:pic="http://schemas.openxmlformats.org/drawingml/2006/picture">
                  <pic:nvPicPr>
                    <pic:cNvPr id="10" name="IM 18"/>
                    <pic:cNvPicPr/>
                  </pic:nvPicPr>
                  <pic:blipFill>
                    <a:blip r:embed="rId8"/>
                    <a:stretch>
                      <a:fillRect/>
                    </a:stretch>
                  </pic:blipFill>
                  <pic:spPr>
                    <a:xfrm>
                      <a:off x="0" y="0"/>
                      <a:ext cx="93825" cy="1531011"/>
                    </a:xfrm>
                    <a:prstGeom prst="rect">
                      <a:avLst/>
                    </a:prstGeom>
                  </pic:spPr>
                </pic:pic>
              </a:graphicData>
            </a:graphic>
          </wp:anchor>
        </w:drawing>
      </w:r>
      <w:r>
        <w:rPr>
          <w:rFonts w:hint="eastAsia" w:ascii="宋体" w:hAnsi="宋体" w:eastAsia="宋体" w:cs="宋体"/>
          <w:spacing w:val="0"/>
          <w:sz w:val="24"/>
          <w:szCs w:val="24"/>
        </w:rPr>
        <w:t>4.除不可抗力外，因乙方自身原因导致逾期未发货或线上平台提取方式未及时生效等原因致使无法使用的，乙方每逾期一日则须支付当次法定节日慰问品总金额的5‰的逾期违约金支付给甲方。乙方造成甲方损失的，还应赔偿甲方相应损失。甲方不得无故拒收乙方送货，否则乙方不承担违约责任。</w:t>
      </w:r>
    </w:p>
    <w:p w14:paraId="5EB7E291">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5.甲方有义务按合同规定时间支付相关款项。</w:t>
      </w:r>
    </w:p>
    <w:p w14:paraId="28397A6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6.本产品一经售出，不得进行二次销售。</w:t>
      </w:r>
    </w:p>
    <w:p w14:paraId="0309A6F2">
      <w:pPr>
        <w:spacing w:line="500" w:lineRule="exact"/>
        <w:ind w:firstLine="480" w:firstLineChars="200"/>
        <w:rPr>
          <w:rFonts w:hint="eastAsia" w:ascii="宋体" w:hAnsi="宋体" w:eastAsia="宋体" w:cs="宋体"/>
          <w:sz w:val="24"/>
          <w:szCs w:val="24"/>
        </w:rPr>
      </w:pPr>
      <w:r>
        <w:rPr>
          <w:rFonts w:hint="eastAsia" w:ascii="宋体" w:hAnsi="宋体" w:eastAsia="宋体" w:cs="宋体"/>
          <w:b w:val="0"/>
          <w:bCs w:val="0"/>
          <w:spacing w:val="0"/>
          <w:sz w:val="24"/>
          <w:szCs w:val="24"/>
        </w:rPr>
        <w:t>(二)乙方权利与义务</w:t>
      </w:r>
    </w:p>
    <w:p w14:paraId="6E7E7333">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1. 乙方应当按照合同规定提供产品，并保证产品在有效期及可使用范围内使用无碍。</w:t>
      </w:r>
    </w:p>
    <w:p w14:paraId="061E1F6B">
      <w:pPr>
        <w:spacing w:line="500" w:lineRule="exact"/>
        <w:ind w:firstLine="480" w:firstLineChars="200"/>
        <w:rPr>
          <w:rFonts w:hint="eastAsia" w:ascii="宋体" w:hAnsi="宋体" w:eastAsia="宋体" w:cs="宋体"/>
          <w:sz w:val="24"/>
          <w:szCs w:val="24"/>
        </w:rPr>
      </w:pPr>
      <w:r>
        <w:rPr>
          <w:rFonts w:hint="eastAsia" w:cs="宋体"/>
          <w:spacing w:val="0"/>
          <w:sz w:val="24"/>
          <w:szCs w:val="24"/>
          <w:lang w:val="en-US" w:eastAsia="zh-CN"/>
        </w:rPr>
        <w:t>2</w:t>
      </w:r>
      <w:r>
        <w:rPr>
          <w:rFonts w:hint="eastAsia" w:ascii="宋体" w:hAnsi="宋体" w:eastAsia="宋体" w:cs="宋体"/>
          <w:spacing w:val="0"/>
          <w:sz w:val="24"/>
          <w:szCs w:val="24"/>
        </w:rPr>
        <w:t>.乙方及时向甲方通告本项目内有关服务的重大事项，及时配合处理投诉。</w:t>
      </w:r>
    </w:p>
    <w:p w14:paraId="035DED6B">
      <w:pPr>
        <w:spacing w:line="500" w:lineRule="exact"/>
        <w:ind w:firstLine="480" w:firstLineChars="200"/>
        <w:rPr>
          <w:rFonts w:hint="eastAsia" w:ascii="宋体" w:hAnsi="宋体" w:eastAsia="宋体" w:cs="宋体"/>
          <w:spacing w:val="0"/>
          <w:sz w:val="24"/>
          <w:szCs w:val="24"/>
        </w:rPr>
      </w:pPr>
      <w:r>
        <w:rPr>
          <w:rFonts w:hint="eastAsia"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pacing w:val="0"/>
          <w:sz w:val="24"/>
          <w:szCs w:val="24"/>
        </w:rPr>
        <w:t>乙方不应在其官方网站或宣传册中对甲乙双方本次合作进行宣传。</w:t>
      </w:r>
    </w:p>
    <w:p w14:paraId="335C4952">
      <w:pPr>
        <w:spacing w:line="500" w:lineRule="exact"/>
        <w:ind w:firstLine="482" w:firstLineChars="200"/>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七</w:t>
      </w:r>
      <w:r>
        <w:rPr>
          <w:rFonts w:hint="eastAsia" w:ascii="宋体" w:hAnsi="宋体" w:eastAsia="宋体" w:cs="宋体"/>
          <w:b/>
          <w:bCs/>
          <w:spacing w:val="0"/>
          <w:sz w:val="24"/>
          <w:szCs w:val="24"/>
        </w:rPr>
        <w:t>、违约责任</w:t>
      </w:r>
    </w:p>
    <w:p w14:paraId="234DE81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1.自本合同生效之日起，乙方不得随意解除或者</w:t>
      </w:r>
      <w:r>
        <w:rPr>
          <w:rFonts w:hint="eastAsia" w:ascii="宋体" w:hAnsi="宋体" w:eastAsia="宋体" w:cs="宋体"/>
          <w:spacing w:val="0"/>
          <w:sz w:val="24"/>
          <w:szCs w:val="24"/>
        </w:rPr>
        <w:t>终止合同。</w:t>
      </w:r>
      <w:r>
        <w:rPr>
          <w:rFonts w:hint="eastAsia" w:cs="宋体"/>
          <w:spacing w:val="0"/>
          <w:sz w:val="24"/>
          <w:szCs w:val="24"/>
          <w:lang w:val="en-US" w:eastAsia="zh-CN"/>
        </w:rPr>
        <w:t>乙</w:t>
      </w:r>
      <w:r>
        <w:rPr>
          <w:rFonts w:hint="eastAsia" w:ascii="宋体" w:hAnsi="宋体" w:eastAsia="宋体" w:cs="宋体"/>
          <w:spacing w:val="0"/>
          <w:sz w:val="24"/>
          <w:szCs w:val="24"/>
        </w:rPr>
        <w:t>方不按约履行合同的均视为违约，须按照本合同已发生货款总额的20%向</w:t>
      </w:r>
      <w:r>
        <w:rPr>
          <w:rFonts w:hint="eastAsia" w:cs="宋体"/>
          <w:spacing w:val="0"/>
          <w:sz w:val="24"/>
          <w:szCs w:val="24"/>
          <w:lang w:val="en-US" w:eastAsia="zh-CN"/>
        </w:rPr>
        <w:t>甲</w:t>
      </w:r>
      <w:r>
        <w:rPr>
          <w:rFonts w:hint="eastAsia" w:ascii="宋体" w:hAnsi="宋体" w:eastAsia="宋体" w:cs="宋体"/>
          <w:spacing w:val="0"/>
          <w:sz w:val="24"/>
          <w:szCs w:val="24"/>
        </w:rPr>
        <w:t>方支付违约金，由此造成的损失亦由</w:t>
      </w:r>
      <w:r>
        <w:rPr>
          <w:rFonts w:hint="eastAsia" w:cs="宋体"/>
          <w:spacing w:val="0"/>
          <w:sz w:val="24"/>
          <w:szCs w:val="24"/>
          <w:lang w:val="en-US" w:eastAsia="zh-CN"/>
        </w:rPr>
        <w:t>甲</w:t>
      </w:r>
      <w:r>
        <w:rPr>
          <w:rFonts w:hint="eastAsia" w:ascii="宋体" w:hAnsi="宋体" w:eastAsia="宋体" w:cs="宋体"/>
          <w:spacing w:val="0"/>
          <w:sz w:val="24"/>
          <w:szCs w:val="24"/>
        </w:rPr>
        <w:t>方承担。</w:t>
      </w:r>
    </w:p>
    <w:p w14:paraId="2657E3DE">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z w:val="24"/>
          <w:szCs w:val="24"/>
        </w:rPr>
        <w:t>2.如因乙方工作人员在履行职务过程中的的疏忽、失职、过错等故意或者过失原因给甲方</w:t>
      </w:r>
      <w:r>
        <w:rPr>
          <w:rFonts w:hint="eastAsia" w:ascii="宋体" w:hAnsi="宋体" w:eastAsia="宋体" w:cs="宋体"/>
          <w:spacing w:val="0"/>
          <w:sz w:val="24"/>
          <w:szCs w:val="24"/>
        </w:rPr>
        <w:t>造成损失或侵害，包括但不限于甲方本身的财产损失、由</w:t>
      </w:r>
      <w:r>
        <w:rPr>
          <w:rFonts w:hint="eastAsia" w:ascii="宋体" w:hAnsi="宋体" w:eastAsia="宋体" w:cs="宋体"/>
          <w:sz w:val="24"/>
          <w:szCs w:val="24"/>
        </w:rPr>
        <w:t>此而导致的甲方对任何第三方的</w:t>
      </w:r>
      <w:r>
        <w:rPr>
          <w:rFonts w:hint="eastAsia" w:ascii="宋体" w:hAnsi="宋体" w:eastAsia="宋体" w:cs="宋体"/>
          <w:spacing w:val="0"/>
          <w:sz w:val="24"/>
          <w:szCs w:val="24"/>
        </w:rPr>
        <w:t>法律责任等，乙方对此均应承担全部的赔偿责任。</w:t>
      </w:r>
    </w:p>
    <w:p w14:paraId="3EDFD3A6">
      <w:pPr>
        <w:spacing w:line="500" w:lineRule="exact"/>
        <w:ind w:firstLine="480" w:firstLineChars="200"/>
        <w:rPr>
          <w:rFonts w:hint="eastAsia" w:ascii="宋体" w:hAnsi="宋体" w:eastAsia="宋体" w:cs="宋体"/>
          <w:sz w:val="24"/>
          <w:szCs w:val="24"/>
        </w:rPr>
      </w:pPr>
      <w:r>
        <w:rPr>
          <w:rFonts w:hint="eastAsia" w:cs="宋体"/>
          <w:spacing w:val="0"/>
          <w:sz w:val="24"/>
          <w:szCs w:val="24"/>
          <w:lang w:val="en-US" w:eastAsia="zh-CN"/>
        </w:rPr>
        <w:t>3.</w:t>
      </w:r>
      <w:r>
        <w:rPr>
          <w:rFonts w:hint="eastAsia" w:ascii="宋体" w:hAnsi="宋体" w:eastAsia="宋体" w:cs="宋体"/>
          <w:spacing w:val="0"/>
          <w:sz w:val="24"/>
          <w:szCs w:val="24"/>
        </w:rPr>
        <w:t>本合同约定的</w:t>
      </w:r>
      <w:r>
        <w:rPr>
          <w:rFonts w:hint="eastAsia" w:ascii="宋体" w:hAnsi="宋体" w:eastAsia="宋体" w:cs="宋体"/>
          <w:spacing w:val="0"/>
          <w:sz w:val="24"/>
          <w:szCs w:val="24"/>
          <w:lang w:val="en-US" w:eastAsia="zh-CN"/>
        </w:rPr>
        <w:t>所有乙方</w:t>
      </w:r>
      <w:r>
        <w:rPr>
          <w:rFonts w:hint="eastAsia" w:ascii="宋体" w:hAnsi="宋体" w:eastAsia="宋体" w:cs="宋体"/>
          <w:spacing w:val="0"/>
          <w:sz w:val="24"/>
          <w:szCs w:val="24"/>
        </w:rPr>
        <w:t>违约金</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甲方均有权在应付乙方款项中直接抵扣，违约金</w:t>
      </w:r>
      <w:r>
        <w:rPr>
          <w:rFonts w:hint="eastAsia" w:ascii="宋体" w:hAnsi="宋体" w:eastAsia="宋体" w:cs="宋体"/>
          <w:spacing w:val="0"/>
          <w:sz w:val="24"/>
          <w:szCs w:val="24"/>
        </w:rPr>
        <w:t>不足以弥补甲方实际损失的，甲方有权向乙方另行追偿（包括但不限于：律师费、</w:t>
      </w:r>
      <w:r>
        <w:rPr>
          <w:rFonts w:hint="eastAsia" w:ascii="宋体" w:hAnsi="宋体" w:eastAsia="宋体" w:cs="宋体"/>
          <w:spacing w:val="0"/>
          <w:sz w:val="24"/>
          <w:szCs w:val="24"/>
          <w:lang w:eastAsia="zh-Hans"/>
        </w:rPr>
        <w:t>调查费、公证费、</w:t>
      </w:r>
      <w:r>
        <w:rPr>
          <w:rFonts w:hint="eastAsia" w:ascii="宋体" w:hAnsi="宋体" w:eastAsia="宋体" w:cs="宋体"/>
          <w:spacing w:val="0"/>
          <w:sz w:val="24"/>
          <w:szCs w:val="24"/>
        </w:rPr>
        <w:t>诉讼费、</w:t>
      </w:r>
      <w:r>
        <w:rPr>
          <w:rFonts w:hint="eastAsia" w:ascii="宋体" w:hAnsi="宋体" w:eastAsia="宋体" w:cs="宋体"/>
          <w:spacing w:val="0"/>
          <w:sz w:val="24"/>
          <w:szCs w:val="24"/>
          <w:lang w:eastAsia="zh-Hans"/>
        </w:rPr>
        <w:t>保全</w:t>
      </w:r>
      <w:r>
        <w:rPr>
          <w:rFonts w:hint="eastAsia" w:cs="宋体"/>
          <w:spacing w:val="0"/>
          <w:sz w:val="24"/>
          <w:szCs w:val="24"/>
          <w:lang w:val="en-US" w:eastAsia="zh-CN"/>
        </w:rPr>
        <w:t>保险</w:t>
      </w:r>
      <w:r>
        <w:rPr>
          <w:rFonts w:hint="eastAsia" w:ascii="宋体" w:hAnsi="宋体" w:eastAsia="宋体" w:cs="宋体"/>
          <w:spacing w:val="0"/>
          <w:sz w:val="24"/>
          <w:szCs w:val="24"/>
        </w:rPr>
        <w:t>费</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交通费</w:t>
      </w:r>
      <w:r>
        <w:rPr>
          <w:rFonts w:hint="eastAsia" w:ascii="宋体" w:hAnsi="宋体" w:eastAsia="宋体" w:cs="宋体"/>
          <w:spacing w:val="0"/>
          <w:sz w:val="24"/>
          <w:szCs w:val="24"/>
        </w:rPr>
        <w:t>等）</w:t>
      </w:r>
    </w:p>
    <w:p w14:paraId="1E11168A">
      <w:pPr>
        <w:spacing w:line="500" w:lineRule="exact"/>
        <w:ind w:firstLine="482" w:firstLineChars="200"/>
        <w:rPr>
          <w:rFonts w:hint="eastAsia" w:ascii="宋体" w:hAnsi="宋体" w:eastAsia="宋体" w:cs="宋体"/>
          <w:b/>
          <w:bCs/>
          <w:spacing w:val="0"/>
          <w:sz w:val="24"/>
          <w:szCs w:val="24"/>
          <w:lang w:val="en-US"/>
        </w:rPr>
      </w:pPr>
      <w:r>
        <w:rPr>
          <w:rFonts w:hint="eastAsia" w:ascii="宋体" w:hAnsi="宋体" w:eastAsia="宋体" w:cs="宋体"/>
          <w:b/>
          <w:bCs/>
          <w:spacing w:val="0"/>
          <w:sz w:val="24"/>
          <w:szCs w:val="24"/>
          <w:lang w:val="en-US" w:eastAsia="zh-CN"/>
        </w:rPr>
        <w:t>八</w:t>
      </w:r>
      <w:r>
        <w:rPr>
          <w:rFonts w:hint="eastAsia" w:ascii="宋体" w:hAnsi="宋体" w:eastAsia="宋体" w:cs="宋体"/>
          <w:b/>
          <w:bCs/>
          <w:spacing w:val="0"/>
          <w:sz w:val="24"/>
          <w:szCs w:val="24"/>
          <w:lang w:val="en-US"/>
        </w:rPr>
        <w:t>、争议的解决及适用法律</w:t>
      </w:r>
    </w:p>
    <w:p w14:paraId="344E2DF1">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合同履行期间，若双方发生争议，可协商或由有关部门调解解决，协商或调解不成的，由当事人依法向甲方所在地有管辖权的法院提起诉讼维护其合法权益。</w:t>
      </w:r>
    </w:p>
    <w:p w14:paraId="30F3B769">
      <w:pPr>
        <w:spacing w:line="500" w:lineRule="exact"/>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2.本合同的订立、执行、解释及争议的解决均应适用中国法律。</w:t>
      </w:r>
    </w:p>
    <w:p w14:paraId="546AD8AD">
      <w:pPr>
        <w:spacing w:line="500" w:lineRule="exact"/>
        <w:ind w:firstLine="480" w:firstLineChars="200"/>
        <w:rPr>
          <w:rFonts w:hint="eastAsia" w:ascii="宋体" w:hAnsi="宋体" w:eastAsia="宋体" w:cs="宋体"/>
          <w:sz w:val="24"/>
          <w:szCs w:val="24"/>
        </w:rPr>
      </w:pPr>
      <w:r>
        <w:rPr>
          <w:rFonts w:hint="eastAsia" w:ascii="宋体" w:hAnsi="宋体" w:eastAsia="宋体" w:cs="宋体"/>
          <w:b w:val="0"/>
          <w:bCs w:val="0"/>
          <w:spacing w:val="0"/>
          <w:sz w:val="24"/>
          <w:szCs w:val="24"/>
        </w:rPr>
        <w:t>七、其他</w:t>
      </w:r>
    </w:p>
    <w:p w14:paraId="2BD0875B">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.为免生疑，双方确认在合作过程中通过电子邮件、钉钉、微信、会议纪要等形式所产生</w:t>
      </w:r>
      <w:r>
        <w:rPr>
          <w:rFonts w:hint="eastAsia" w:ascii="宋体" w:hAnsi="宋体" w:eastAsia="宋体" w:cs="宋体"/>
          <w:sz w:val="24"/>
          <w:szCs w:val="24"/>
        </w:rPr>
        <w:t xml:space="preserve"> </w:t>
      </w:r>
      <w:r>
        <w:rPr>
          <w:rFonts w:hint="eastAsia" w:ascii="宋体" w:hAnsi="宋体" w:eastAsia="宋体" w:cs="宋体"/>
          <w:spacing w:val="0"/>
          <w:sz w:val="24"/>
          <w:szCs w:val="24"/>
        </w:rPr>
        <w:t>的工作内容亦可认其效力。</w:t>
      </w:r>
    </w:p>
    <w:p w14:paraId="1144D84B">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.上述联系方式如发生变化，需提前3个工作日书面通知对方，否则造成无法送达的责任</w:t>
      </w:r>
    </w:p>
    <w:p w14:paraId="05F65985">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由未通知的一方承担。</w:t>
      </w:r>
    </w:p>
    <w:p w14:paraId="35D30477">
      <w:pPr>
        <w:spacing w:line="500" w:lineRule="exact"/>
        <w:ind w:firstLine="480" w:firstLineChars="200"/>
        <w:rPr>
          <w:rFonts w:hint="eastAsia" w:ascii="宋体" w:hAnsi="宋体" w:eastAsia="宋体" w:cs="宋体"/>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.本协议一式贰份，甲方持壹份，乙方持壹份，具有同等法律效力。</w:t>
      </w:r>
    </w:p>
    <w:p w14:paraId="4749886B">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w:t>
      </w:r>
      <w:bookmarkStart w:id="10" w:name="_GoBack"/>
      <w:bookmarkEnd w:id="10"/>
      <w:r>
        <w:rPr>
          <w:rFonts w:hint="eastAsia" w:ascii="宋体" w:hAnsi="宋体" w:eastAsia="宋体" w:cs="宋体"/>
          <w:sz w:val="24"/>
          <w:szCs w:val="24"/>
          <w:lang w:val="en-US" w:eastAsia="zh-CN"/>
        </w:rPr>
        <w:t>报价函</w:t>
      </w:r>
    </w:p>
    <w:p w14:paraId="511BFACE">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2.中标通知书</w:t>
      </w:r>
    </w:p>
    <w:p w14:paraId="543FDC9A">
      <w:pPr>
        <w:spacing w:line="500" w:lineRule="exact"/>
        <w:ind w:firstLine="480" w:firstLineChars="200"/>
        <w:rPr>
          <w:rFonts w:hint="eastAsia" w:cs="宋体"/>
          <w:sz w:val="24"/>
          <w:szCs w:val="24"/>
          <w:lang w:val="en-US" w:eastAsia="zh-CN"/>
        </w:rPr>
      </w:pPr>
      <w:r>
        <w:rPr>
          <w:rFonts w:hint="eastAsia" w:cs="宋体"/>
          <w:sz w:val="24"/>
          <w:szCs w:val="24"/>
          <w:lang w:val="en-US" w:eastAsia="zh-CN"/>
        </w:rPr>
        <w:t>（以下无正文）</w:t>
      </w:r>
    </w:p>
    <w:p w14:paraId="287E4D97">
      <w:pPr>
        <w:spacing w:line="400" w:lineRule="exact"/>
        <w:ind w:firstLine="480" w:firstLineChars="200"/>
        <w:rPr>
          <w:rFonts w:hint="eastAsia" w:ascii="宋体" w:hAnsi="宋体" w:eastAsia="宋体" w:cs="宋体"/>
          <w:sz w:val="24"/>
          <w:szCs w:val="24"/>
          <w:lang w:val="en-US"/>
        </w:rPr>
      </w:pPr>
    </w:p>
    <w:tbl>
      <w:tblPr>
        <w:tblStyle w:val="9"/>
        <w:tblW w:w="10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0"/>
        <w:gridCol w:w="4899"/>
      </w:tblGrid>
      <w:tr w14:paraId="6B2C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top"/>
          </w:tcPr>
          <w:p w14:paraId="3E2D79AB">
            <w:pPr>
              <w:snapToGrid w:val="0"/>
              <w:spacing w:line="400" w:lineRule="exact"/>
              <w:ind w:left="0" w:leftChars="0"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rPr>
              <w:br w:type="page"/>
            </w:r>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55A7F600">
            <w:pPr>
              <w:snapToGrid w:val="0"/>
              <w:spacing w:line="400" w:lineRule="exact"/>
              <w:ind w:firstLine="480" w:firstLineChars="200"/>
              <w:jc w:val="left"/>
              <w:rPr>
                <w:rFonts w:hint="eastAsia" w:ascii="宋体" w:hAnsi="宋体" w:eastAsia="宋体" w:cs="宋体"/>
                <w:sz w:val="24"/>
                <w:szCs w:val="24"/>
                <w:vertAlign w:val="baseline"/>
              </w:rPr>
            </w:pPr>
          </w:p>
        </w:tc>
        <w:tc>
          <w:tcPr>
            <w:tcW w:w="4899" w:type="dxa"/>
            <w:tcBorders>
              <w:tl2br w:val="nil"/>
              <w:tr2bl w:val="nil"/>
            </w:tcBorders>
            <w:noWrap w:val="0"/>
            <w:vAlign w:val="top"/>
          </w:tcPr>
          <w:p w14:paraId="5CA31100">
            <w:pPr>
              <w:snapToGrid w:val="0"/>
              <w:spacing w:line="400" w:lineRule="exact"/>
              <w:ind w:left="0" w:firstLine="480" w:firstLineChars="200"/>
              <w:jc w:val="left"/>
              <w:rPr>
                <w:rFonts w:hint="eastAsia" w:ascii="宋体" w:hAnsi="宋体" w:eastAsia="宋体" w:cs="宋体"/>
                <w:kern w:val="0"/>
                <w:sz w:val="24"/>
                <w:szCs w:val="24"/>
                <w:u w:val="none"/>
                <w:lang w:val="en-US" w:eastAsia="zh-CN"/>
              </w:rPr>
            </w:pPr>
            <w:r>
              <w:rPr>
                <w:rFonts w:hint="eastAsia" w:ascii="宋体" w:hAnsi="宋体" w:eastAsia="宋体" w:cs="宋体"/>
                <w:sz w:val="24"/>
                <w:szCs w:val="24"/>
              </w:rPr>
              <w:t>乙方：</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rPr>
              <w:t>（盖章</w:t>
            </w:r>
            <w:r>
              <w:rPr>
                <w:rFonts w:hint="eastAsia" w:ascii="宋体" w:hAnsi="宋体" w:eastAsia="宋体" w:cs="宋体"/>
                <w:sz w:val="24"/>
                <w:szCs w:val="24"/>
                <w:lang w:val="en-US" w:eastAsia="zh-CN"/>
              </w:rPr>
              <w:t>)</w:t>
            </w:r>
          </w:p>
          <w:p w14:paraId="437E6C2C">
            <w:pPr>
              <w:snapToGrid w:val="0"/>
              <w:spacing w:line="400" w:lineRule="exact"/>
              <w:ind w:left="0" w:firstLine="480" w:firstLineChars="200"/>
              <w:jc w:val="left"/>
              <w:rPr>
                <w:rFonts w:hint="eastAsia" w:ascii="宋体" w:hAnsi="宋体" w:eastAsia="宋体" w:cs="宋体"/>
                <w:sz w:val="24"/>
                <w:szCs w:val="24"/>
                <w:vertAlign w:val="baseline"/>
              </w:rPr>
            </w:pPr>
          </w:p>
        </w:tc>
      </w:tr>
      <w:tr w14:paraId="3ABF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495E7DFB">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p>
          <w:p w14:paraId="71B7197D">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或委托代理人：              （签字）</w:t>
            </w:r>
          </w:p>
        </w:tc>
        <w:tc>
          <w:tcPr>
            <w:tcW w:w="4899" w:type="dxa"/>
            <w:tcBorders>
              <w:tl2br w:val="nil"/>
              <w:tr2bl w:val="nil"/>
            </w:tcBorders>
            <w:noWrap w:val="0"/>
            <w:vAlign w:val="center"/>
          </w:tcPr>
          <w:p w14:paraId="3A005B6F">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p>
          <w:p w14:paraId="23CE424F">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或委托代理人：           （签字）</w:t>
            </w:r>
          </w:p>
        </w:tc>
      </w:tr>
      <w:tr w14:paraId="66B9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75DECD97">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经办人：</w:t>
            </w:r>
          </w:p>
        </w:tc>
        <w:tc>
          <w:tcPr>
            <w:tcW w:w="4899" w:type="dxa"/>
            <w:tcBorders>
              <w:tl2br w:val="nil"/>
              <w:tr2bl w:val="nil"/>
            </w:tcBorders>
            <w:noWrap w:val="0"/>
            <w:vAlign w:val="center"/>
          </w:tcPr>
          <w:p w14:paraId="3721B617">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经办人：</w:t>
            </w:r>
          </w:p>
        </w:tc>
      </w:tr>
      <w:tr w14:paraId="5B78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4AFECF7B">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开户银行：</w:t>
            </w:r>
          </w:p>
        </w:tc>
        <w:tc>
          <w:tcPr>
            <w:tcW w:w="4899" w:type="dxa"/>
            <w:tcBorders>
              <w:tl2br w:val="nil"/>
              <w:tr2bl w:val="nil"/>
            </w:tcBorders>
            <w:noWrap w:val="0"/>
            <w:vAlign w:val="center"/>
          </w:tcPr>
          <w:p w14:paraId="1DFC4A43">
            <w:pPr>
              <w:snapToGrid w:val="0"/>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开户银行：</w:t>
            </w:r>
          </w:p>
        </w:tc>
      </w:tr>
      <w:tr w14:paraId="68B7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70A7F746">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开户账号：</w:t>
            </w:r>
          </w:p>
        </w:tc>
        <w:tc>
          <w:tcPr>
            <w:tcW w:w="4899" w:type="dxa"/>
            <w:tcBorders>
              <w:tl2br w:val="nil"/>
              <w:tr2bl w:val="nil"/>
            </w:tcBorders>
            <w:noWrap w:val="0"/>
            <w:vAlign w:val="center"/>
          </w:tcPr>
          <w:p w14:paraId="6762C461">
            <w:pPr>
              <w:snapToGrid w:val="0"/>
              <w:spacing w:before="0" w:line="400" w:lineRule="exact"/>
              <w:ind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开户账号：</w:t>
            </w:r>
          </w:p>
        </w:tc>
      </w:tr>
      <w:tr w14:paraId="46CB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329307A3">
            <w:pPr>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tc>
        <w:tc>
          <w:tcPr>
            <w:tcW w:w="4899" w:type="dxa"/>
            <w:tcBorders>
              <w:tl2br w:val="nil"/>
              <w:tr2bl w:val="nil"/>
            </w:tcBorders>
            <w:noWrap w:val="0"/>
            <w:vAlign w:val="center"/>
          </w:tcPr>
          <w:p w14:paraId="32A8D996">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tc>
      </w:tr>
      <w:tr w14:paraId="4022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5F7A441E">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电话：</w:t>
            </w:r>
          </w:p>
        </w:tc>
        <w:tc>
          <w:tcPr>
            <w:tcW w:w="4899" w:type="dxa"/>
            <w:tcBorders>
              <w:tl2br w:val="nil"/>
              <w:tr2bl w:val="nil"/>
            </w:tcBorders>
            <w:noWrap w:val="0"/>
            <w:vAlign w:val="center"/>
          </w:tcPr>
          <w:p w14:paraId="1D14BF0E">
            <w:pPr>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电话：</w:t>
            </w:r>
          </w:p>
        </w:tc>
      </w:tr>
      <w:tr w14:paraId="2516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80" w:type="dxa"/>
            <w:tcBorders>
              <w:tl2br w:val="nil"/>
              <w:tr2bl w:val="nil"/>
            </w:tcBorders>
            <w:noWrap w:val="0"/>
            <w:vAlign w:val="center"/>
          </w:tcPr>
          <w:p w14:paraId="6F5EB4FD">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 xml:space="preserve">时间：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c>
          <w:tcPr>
            <w:tcW w:w="4899" w:type="dxa"/>
            <w:tcBorders>
              <w:tl2br w:val="nil"/>
              <w:tr2bl w:val="nil"/>
            </w:tcBorders>
            <w:noWrap w:val="0"/>
            <w:vAlign w:val="center"/>
          </w:tcPr>
          <w:p w14:paraId="0C5EBB91">
            <w:pPr>
              <w:snapToGrid w:val="0"/>
              <w:spacing w:line="400" w:lineRule="exact"/>
              <w:ind w:firstLine="480" w:firstLineChars="200"/>
              <w:jc w:val="left"/>
              <w:rPr>
                <w:rFonts w:hint="eastAsia" w:ascii="宋体" w:hAnsi="宋体" w:eastAsia="宋体" w:cs="宋体"/>
                <w:sz w:val="24"/>
                <w:szCs w:val="24"/>
                <w:vertAlign w:val="baseline"/>
              </w:rPr>
            </w:pPr>
            <w:r>
              <w:rPr>
                <w:rFonts w:hint="eastAsia" w:ascii="宋体" w:hAnsi="宋体" w:eastAsia="宋体" w:cs="宋体"/>
                <w:sz w:val="24"/>
                <w:szCs w:val="24"/>
              </w:rPr>
              <w:t xml:space="preserve">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r>
    </w:tbl>
    <w:p w14:paraId="5CDE5188">
      <w:pPr>
        <w:pStyle w:val="6"/>
        <w:spacing w:line="500" w:lineRule="exact"/>
        <w:jc w:val="center"/>
        <w:rPr>
          <w:rFonts w:hint="eastAsia" w:ascii="宋体" w:hAnsi="宋体" w:eastAsia="宋体" w:cs="宋体"/>
          <w:color w:val="000000" w:themeColor="text1"/>
          <w:spacing w:val="-1"/>
          <w:sz w:val="28"/>
          <w:szCs w:val="28"/>
          <w14:textFill>
            <w14:solidFill>
              <w14:schemeClr w14:val="tx1"/>
            </w14:solidFill>
          </w14:textFill>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1A33607">
      <w:pPr>
        <w:pStyle w:val="5"/>
        <w:adjustRightInd w:val="0"/>
        <w:snapToGrid w:val="0"/>
        <w:spacing w:before="0" w:after="0"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0" w:name="_Toc8799"/>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 xml:space="preserve"> 廉政合同</w:t>
      </w:r>
      <w:bookmarkEnd w:id="0"/>
    </w:p>
    <w:p w14:paraId="5456C7A2">
      <w:pPr>
        <w:spacing w:before="120" w:after="120"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廉政合同</w:t>
      </w:r>
    </w:p>
    <w:p w14:paraId="38CAD535">
      <w:pPr>
        <w:tabs>
          <w:tab w:val="left" w:pos="5220"/>
          <w:tab w:val="left" w:pos="5400"/>
          <w:tab w:val="left" w:pos="5580"/>
        </w:tabs>
        <w:autoSpaceDE w:val="0"/>
        <w:autoSpaceDN w:val="0"/>
        <w:adjustRightInd w:val="0"/>
        <w:spacing w:line="500" w:lineRule="exact"/>
        <w:ind w:firstLine="789" w:firstLineChars="32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根据</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《中华人民共和国招标投标法》</w:t>
      </w:r>
      <w:r>
        <w:rPr>
          <w:rFonts w:hint="eastAsia" w:ascii="宋体" w:hAnsi="宋体" w:eastAsia="宋体" w:cs="宋体"/>
          <w:color w:val="000000" w:themeColor="text1"/>
          <w:kern w:val="0"/>
          <w:sz w:val="24"/>
          <w:szCs w:val="24"/>
          <w:highlight w:val="none"/>
          <w14:textFill>
            <w14:solidFill>
              <w14:schemeClr w14:val="tx1"/>
            </w14:solidFill>
          </w14:textFill>
        </w:rPr>
        <w:t>以及有关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慰问品</w:t>
      </w:r>
      <w:r>
        <w:rPr>
          <w:rFonts w:hint="eastAsia" w:ascii="宋体" w:hAnsi="宋体" w:eastAsia="宋体" w:cs="宋体"/>
          <w:color w:val="000000" w:themeColor="text1"/>
          <w:kern w:val="0"/>
          <w:sz w:val="24"/>
          <w:szCs w:val="24"/>
          <w:highlight w:val="none"/>
          <w14:textFill>
            <w14:solidFill>
              <w14:schemeClr w14:val="tx1"/>
            </w14:solidFill>
          </w14:textFill>
        </w:rPr>
        <w:t>采购、廉政建设的规定，为做好</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慰问品</w:t>
      </w:r>
      <w:r>
        <w:rPr>
          <w:rFonts w:hint="eastAsia" w:ascii="宋体" w:hAnsi="宋体" w:eastAsia="宋体" w:cs="宋体"/>
          <w:color w:val="000000" w:themeColor="text1"/>
          <w:kern w:val="0"/>
          <w:sz w:val="24"/>
          <w:szCs w:val="24"/>
          <w:highlight w:val="none"/>
          <w14:textFill>
            <w14:solidFill>
              <w14:schemeClr w14:val="tx1"/>
            </w14:solidFill>
          </w14:textFill>
        </w:rPr>
        <w:t>采购中的党风廉政建设，保证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w:t>
      </w:r>
      <w:r>
        <w:rPr>
          <w:rFonts w:hint="eastAsia" w:ascii="宋体" w:hAnsi="宋体" w:eastAsia="宋体" w:cs="宋体"/>
          <w:color w:val="000000" w:themeColor="text1"/>
          <w:kern w:val="0"/>
          <w:sz w:val="24"/>
          <w:szCs w:val="24"/>
          <w:highlight w:val="none"/>
          <w14:textFill>
            <w14:solidFill>
              <w14:schemeClr w14:val="tx1"/>
            </w14:solidFill>
          </w14:textFill>
        </w:rPr>
        <w:t>购高效优质，保证采购资金的安全和有效使用，</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（项目名称）的项目法人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（项目法人名称，以下简称“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”）与该项目的</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（以下简称“供应商”），特订立如下合同。</w:t>
      </w:r>
    </w:p>
    <w:p w14:paraId="23A16FA8">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1" w:name="_Toc28008"/>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1.甲方和供应商双方的权利和义务</w:t>
      </w:r>
      <w:bookmarkEnd w:id="1"/>
    </w:p>
    <w:p w14:paraId="3907DB17">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（1）严格遵守党的政策规定和国家有关法律法规的有关规定。</w:t>
      </w:r>
    </w:p>
    <w:p w14:paraId="0C6A8C28">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（2）严格执行</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（项目名称）第</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标段合同文件，自觉按合同办事。</w:t>
      </w:r>
    </w:p>
    <w:p w14:paraId="4BE1631B">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（3）双方的业务活动坚持公开、公正、诚信、透明的原则（法律认定的商业秘密和合同文件另有规定除外），不得损害国家和集体利益，不得违反相关规章制度。</w:t>
      </w:r>
    </w:p>
    <w:p w14:paraId="72D761FE">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（4）建立健全廉政制度，开展廉政教育，设立廉政告示牌，公布举报电话，监督并认真查处违法违纪行为。</w:t>
      </w:r>
    </w:p>
    <w:p w14:paraId="1F48BEC1">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（5）发现对方在业务活动中有违反廉政规定的行为，有及时提醒对方纠正的权利和义务。</w:t>
      </w:r>
    </w:p>
    <w:p w14:paraId="12BB9DFA">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（6）发现对方严重违反本合同义务条款的行为，有向其上级有关部门举报、建议给予处理并要求告知处理结果的权利。</w:t>
      </w:r>
    </w:p>
    <w:p w14:paraId="284E4094">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2" w:name="_Toc7486"/>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2.甲方的义务</w:t>
      </w:r>
      <w:bookmarkEnd w:id="2"/>
    </w:p>
    <w:p w14:paraId="2FF35236">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及其工作人员不得索要或接受供应商的礼金、有价证券和贵重物品，不得让供应商报销任何应由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工作人员个人支付的费用等。</w:t>
      </w:r>
    </w:p>
    <w:p w14:paraId="0678FF71">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工作人员不得参加供应商安排的超标准宴请和娱乐活动；不得接受供应商提供的通信工具、交通工具和高档办公用品等。</w:t>
      </w:r>
    </w:p>
    <w:p w14:paraId="67803D17">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及其工作人员不得要求或者接受供应商为其住房装修、婚丧嫁娶活动、配偶子女的工作安排以及出国出境、旅游等提供方便等。</w:t>
      </w:r>
    </w:p>
    <w:p w14:paraId="053A8E7B">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工作人员及其配偶、子女、亲属不得从事与本合同有关的采购等活动。</w:t>
      </w:r>
    </w:p>
    <w:p w14:paraId="783DF3A4">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工作人员要秉公办事，不准营私舞弊，不准利用职权从事各种个人有偿中介活动等行为。</w:t>
      </w:r>
    </w:p>
    <w:p w14:paraId="20CF6A4C">
      <w:pPr>
        <w:autoSpaceDE/>
        <w:autoSpaceDN/>
        <w:spacing w:line="500" w:lineRule="exact"/>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bookmarkStart w:id="3" w:name="_Toc13595"/>
      <w:r>
        <w:rPr>
          <w:rFonts w:hint="eastAsia" w:ascii="宋体" w:hAnsi="宋体" w:eastAsia="宋体" w:cs="宋体"/>
          <w:color w:val="000000" w:themeColor="text1"/>
          <w:kern w:val="0"/>
          <w:sz w:val="24"/>
          <w:szCs w:val="24"/>
          <w:highlight w:val="none"/>
          <w14:textFill>
            <w14:solidFill>
              <w14:schemeClr w14:val="tx1"/>
            </w14:solidFill>
          </w14:textFill>
        </w:rPr>
        <w:t>3.供应商的义务</w:t>
      </w:r>
      <w:bookmarkEnd w:id="3"/>
    </w:p>
    <w:p w14:paraId="1F6C4DBB">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（1）供应商不得以任何理由向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及其工作人员行贿或馈赠礼金、有价证券、贵重礼品。</w:t>
      </w:r>
    </w:p>
    <w:p w14:paraId="022118F3">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（2）供应商不得以任何名义为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及其工作人员报销应由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单位或个人支付的任何费用。</w:t>
      </w:r>
    </w:p>
    <w:p w14:paraId="058F8031">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（3）供应商不得以任何理由安排</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工作人员参加超标准宴请及娱乐活动。</w:t>
      </w:r>
    </w:p>
    <w:p w14:paraId="796911BD">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（4）供应商不得为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单位和个人购置或提供通信工具、交通工具和高档办公用品等。</w:t>
      </w:r>
    </w:p>
    <w:p w14:paraId="65C40AF0">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4" w:name="_Toc10460"/>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4.违约责任</w:t>
      </w:r>
      <w:bookmarkEnd w:id="4"/>
    </w:p>
    <w:p w14:paraId="23E1EA8A">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及其工作人员违反本合同第1、2条，按管理权限，依据有关规定给予党纪、政纪或组织处理；涉嫌犯罪的，移交司法机关追究刑事责任；给供应商单位造成经济损失的，应予以赔偿。</w:t>
      </w:r>
    </w:p>
    <w:p w14:paraId="6EE0EBC8">
      <w:pPr>
        <w:tabs>
          <w:tab w:val="left" w:pos="5220"/>
          <w:tab w:val="left" w:pos="5400"/>
          <w:tab w:val="left" w:pos="5580"/>
        </w:tabs>
        <w:autoSpaceDE w:val="0"/>
        <w:autoSpaceDN w:val="0"/>
        <w:adjustRightInd w:val="0"/>
        <w:spacing w:line="500" w:lineRule="exact"/>
        <w:ind w:firstLine="48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（2）供应商及其工作人员违反本合同第1、3条，按管理权限，依据有关规定给予党纪、政纪或组织处理；给</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单位造成经济损失的，应予以赔偿；</w:t>
      </w:r>
    </w:p>
    <w:p w14:paraId="1ECF85B6">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 双方约定：本合同由双方或双方上级单位的纪检监察部门负责监督执行。由甲方或甲方上级单位的纪检监察部门约请供应商或供应商上级单位纪检监察部门对本合同执行情况进行检查，提出在本合同规定范围内的裁定意见。</w:t>
      </w:r>
    </w:p>
    <w:p w14:paraId="7D37EB6A">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5" w:name="_Toc18243"/>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 本合同有效期为合同双方签署之日起至合同失效日止。</w:t>
      </w:r>
      <w:bookmarkEnd w:id="5"/>
    </w:p>
    <w:p w14:paraId="3827296C">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7. 本合同作为（招标项目名称）第标段合同的附件，与合同具有同等的法律效力，经合同双方签署后立即生效。</w:t>
      </w:r>
    </w:p>
    <w:p w14:paraId="1E1F6F8A">
      <w:pPr>
        <w:autoSpaceDE/>
        <w:autoSpaceDN/>
        <w:spacing w:line="500" w:lineRule="exact"/>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 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份，由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和供应商各执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份，送交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14:textFill>
            <w14:solidFill>
              <w14:schemeClr w14:val="tx1"/>
            </w14:solidFill>
          </w14:textFill>
        </w:rPr>
        <w:t>和供应商的监督单位各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份。</w:t>
      </w:r>
    </w:p>
    <w:p w14:paraId="73042717">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（以下无正文）</w:t>
      </w:r>
    </w:p>
    <w:p w14:paraId="18FA8FDF">
      <w:pPr>
        <w:pStyle w:val="2"/>
        <w:spacing w:line="5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D76F897">
      <w:pPr>
        <w:pStyle w:val="2"/>
        <w:spacing w:line="5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7C1F191">
      <w:pPr>
        <w:pStyle w:val="2"/>
        <w:spacing w:line="5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651CAE90">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p>
    <w:p w14:paraId="0E2D4161">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     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w:t>
      </w:r>
    </w:p>
    <w:p w14:paraId="46DE69F2">
      <w:pPr>
        <w:spacing w:line="500" w:lineRule="exact"/>
        <w:ind w:firstLine="8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46F96F3B">
      <w:pPr>
        <w:pStyle w:val="5"/>
        <w:adjustRightInd w:val="0"/>
        <w:snapToGrid w:val="0"/>
        <w:spacing w:before="0" w:after="0"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6" w:name="_Toc15358"/>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cs="宋体"/>
          <w:color w:val="000000" w:themeColor="text1"/>
          <w:sz w:val="24"/>
          <w:szCs w:val="24"/>
          <w:highlight w:val="none"/>
          <w:lang w:val="en-US" w:eastAsia="zh-CN"/>
          <w14:textFill>
            <w14:solidFill>
              <w14:schemeClr w14:val="tx1"/>
            </w14:solidFill>
          </w14:textFill>
        </w:rPr>
        <w:t>食品</w:t>
      </w:r>
      <w:r>
        <w:rPr>
          <w:rFonts w:hint="eastAsia" w:ascii="宋体" w:hAnsi="宋体" w:eastAsia="宋体" w:cs="宋体"/>
          <w:color w:val="000000" w:themeColor="text1"/>
          <w:sz w:val="24"/>
          <w:szCs w:val="24"/>
          <w:highlight w:val="none"/>
          <w14:textFill>
            <w14:solidFill>
              <w14:schemeClr w14:val="tx1"/>
            </w14:solidFill>
          </w14:textFill>
        </w:rPr>
        <w:t>安全生产合同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适用于包2</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6"/>
    </w:p>
    <w:p w14:paraId="1A42844E">
      <w:pPr>
        <w:spacing w:before="120" w:after="120" w:line="500" w:lineRule="exact"/>
        <w:ind w:firstLine="602"/>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食品</w:t>
      </w:r>
      <w:r>
        <w:rPr>
          <w:rFonts w:hint="eastAsia" w:ascii="宋体" w:hAnsi="宋体" w:eastAsia="宋体" w:cs="宋体"/>
          <w:b/>
          <w:color w:val="000000" w:themeColor="text1"/>
          <w:sz w:val="24"/>
          <w:szCs w:val="24"/>
          <w:highlight w:val="none"/>
          <w14:textFill>
            <w14:solidFill>
              <w14:schemeClr w14:val="tx1"/>
            </w14:solidFill>
          </w14:textFill>
        </w:rPr>
        <w:t>安全生产合同</w:t>
      </w:r>
    </w:p>
    <w:p w14:paraId="6B2C54DA">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（招标项目名称）合同的实施过程中创造安全、高效的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配送</w:t>
      </w:r>
      <w:r>
        <w:rPr>
          <w:rFonts w:hint="eastAsia" w:ascii="宋体" w:hAnsi="宋体" w:eastAsia="宋体" w:cs="宋体"/>
          <w:color w:val="000000" w:themeColor="text1"/>
          <w:sz w:val="24"/>
          <w:szCs w:val="24"/>
          <w:highlight w:val="none"/>
          <w14:textFill>
            <w14:solidFill>
              <w14:schemeClr w14:val="tx1"/>
            </w14:solidFill>
          </w14:textFill>
        </w:rPr>
        <w:t>环境，切实搞好本项目的安全管理工作，本项目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名称，以下简称“</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”）与供应商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（供应商名称，以下简称“供应商”）特此签订安全生产合同：</w:t>
      </w:r>
    </w:p>
    <w:p w14:paraId="185ECB79">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7" w:name="_Toc30508"/>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1.甲方职责</w:t>
      </w:r>
      <w:bookmarkEnd w:id="7"/>
    </w:p>
    <w:p w14:paraId="0848AC7C">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（1）严格遵守国家有关安全生产的法律法规，认真执行食材供应合同中的有关安全要求。</w:t>
      </w:r>
    </w:p>
    <w:p w14:paraId="39FD6E49">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（2）按照“安全第一、预防为主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综合治理</w:t>
      </w:r>
      <w:r>
        <w:rPr>
          <w:rFonts w:hint="eastAsia" w:ascii="宋体" w:hAnsi="宋体" w:eastAsia="宋体" w:cs="宋体"/>
          <w:color w:val="000000" w:themeColor="text1"/>
          <w:sz w:val="24"/>
          <w:szCs w:val="24"/>
          <w:highlight w:val="none"/>
          <w14:textFill>
            <w14:solidFill>
              <w14:schemeClr w14:val="tx1"/>
            </w14:solidFill>
          </w14:textFill>
        </w:rPr>
        <w:t>”和坚持“管生产必须管安全”的原则进行安全生产管理，做到生产与安全工作同时计划、布置、检查、总结和评比。</w:t>
      </w:r>
    </w:p>
    <w:p w14:paraId="10F449F2">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（3）组织对供应商食材供应安全生产检查，监督供应商及时处理发现的各种食品安全隐患。</w:t>
      </w:r>
    </w:p>
    <w:p w14:paraId="1D9948F4">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8" w:name="_Toc7670"/>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2.供应商职责</w:t>
      </w:r>
      <w:bookmarkEnd w:id="8"/>
    </w:p>
    <w:p w14:paraId="7D3E42BA">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（1）严格遵守《中华人民共和国安全生产法》等国家有关安全生产的法律法规。认真执行合同中的有关安全要求。</w:t>
      </w:r>
    </w:p>
    <w:p w14:paraId="32D17363">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项目管理人员、配送人员和驾驶员，必须熟悉和遵守本合同的各项规定，做到生产与安全工作同时计划、布置、检查、总结和评比。</w:t>
      </w:r>
    </w:p>
    <w:p w14:paraId="3CCF21B1">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（3）建立健全安全生产责任制。从派往项目负责人到配送人员、驾驶员的安全生产管理工作必须做好，—环不漏；食品安全监督，人人有责。项目负责人是食品安全的第一责任人。</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有权按有关规定发布指令，并采取保护性措施防止事故发生。</w:t>
      </w:r>
    </w:p>
    <w:p w14:paraId="427B8F86">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（4）供应商在任何时候都应采取各种合理的食品安全预防措施，防止其员工发生任何违法、违禁、暴力或妨碍治安的行为。</w:t>
      </w:r>
    </w:p>
    <w:p w14:paraId="05385776">
      <w:pPr>
        <w:adjustRightInd w:val="0"/>
        <w:snapToGrid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（5）对于易燃易爆的材料除应专门妥善保管之外，还应配备有足够的消防设施，所有项目工作人员都应熟悉消防设备的性能和使用方法。</w:t>
      </w:r>
    </w:p>
    <w:p w14:paraId="0CF1D25D">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（6）供应商必须按照项目特点，组织制定本项目中的配送安全事故应急预案；承担配送途中全部安全责</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任及配送食材引发的食品安全事故责任。</w:t>
      </w:r>
    </w:p>
    <w:p w14:paraId="3807AB2D">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bookmarkStart w:id="9" w:name="_Toc29513"/>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3.违约责任</w:t>
      </w:r>
      <w:bookmarkEnd w:id="9"/>
    </w:p>
    <w:p w14:paraId="76BAD511">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如因甲方或供应商违约造成安全事故，将依法追究责任。</w:t>
      </w:r>
    </w:p>
    <w:p w14:paraId="57E794B8">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4.本合同由双方法定代表人或其授权的代理人签署并加盖单位章后生效。</w:t>
      </w:r>
    </w:p>
    <w:p w14:paraId="4DC6E5A6">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5.本合同一式   份，正本   份，副本   份，甲方执正本   份，副本   份，供应商执正本   份，副本   份，当正本与副本的内容不一致时，以正本为准。</w:t>
      </w:r>
    </w:p>
    <w:p w14:paraId="32B8E8A0">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（以下无正文）</w:t>
      </w:r>
    </w:p>
    <w:p w14:paraId="000C33E1">
      <w:pPr>
        <w:autoSpaceDE/>
        <w:autoSpaceDN/>
        <w:spacing w:line="500" w:lineRule="exact"/>
        <w:ind w:firstLine="480" w:firstLineChars="20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p>
    <w:p w14:paraId="42B2B051">
      <w:pPr>
        <w:adjustRightInd w:val="0"/>
        <w:snapToGrid w:val="0"/>
        <w:spacing w:line="50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（盖单位章） </w:t>
      </w:r>
    </w:p>
    <w:p w14:paraId="1BACCC34">
      <w:pPr>
        <w:tabs>
          <w:tab w:val="left" w:pos="5010"/>
        </w:tabs>
        <w:adjustRightInd w:val="0"/>
        <w:snapToGrid w:val="0"/>
        <w:spacing w:line="500" w:lineRule="exact"/>
        <w:ind w:left="-209" w:leftChars="-95"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7D2E454">
      <w:pPr>
        <w:tabs>
          <w:tab w:val="left" w:pos="5010"/>
        </w:tabs>
        <w:adjustRightInd w:val="0"/>
        <w:snapToGrid w:val="0"/>
        <w:spacing w:line="500" w:lineRule="exact"/>
        <w:ind w:left="-209" w:leftChars="-95"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或其授权代理人：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926BD53">
      <w:pPr>
        <w:adjustRightInd w:val="0"/>
        <w:snapToGrid w:val="0"/>
        <w:spacing w:line="500" w:lineRule="exact"/>
        <w:ind w:left="-209" w:leftChars="-95" w:firstLine="420"/>
        <w:rPr>
          <w:rFonts w:hint="eastAsia" w:ascii="宋体" w:hAnsi="宋体" w:eastAsia="宋体" w:cs="宋体"/>
          <w:color w:val="000000" w:themeColor="text1"/>
          <w:sz w:val="24"/>
          <w:szCs w:val="24"/>
          <w:highlight w:val="none"/>
          <w14:textFill>
            <w14:solidFill>
              <w14:schemeClr w14:val="tx1"/>
            </w14:solidFill>
          </w14:textFill>
        </w:rPr>
      </w:pPr>
    </w:p>
    <w:p w14:paraId="19AADDB0">
      <w:r>
        <w:rPr>
          <w:rFonts w:hint="eastAsia" w:ascii="宋体" w:hAnsi="宋体" w:eastAsia="宋体" w:cs="宋体"/>
          <w:color w:val="000000" w:themeColor="text1"/>
          <w:sz w:val="24"/>
          <w:szCs w:val="24"/>
          <w:highlight w:val="none"/>
          <w14:textFill>
            <w14:solidFill>
              <w14:schemeClr w14:val="tx1"/>
            </w14:solidFill>
          </w14:textFill>
        </w:rPr>
        <w:t xml:space="preserve">             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C030E">
    <w:pPr>
      <w:spacing w:line="184" w:lineRule="auto"/>
      <w:ind w:left="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FD54F">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AFD54F">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5BB8D">
    <w:pPr>
      <w:spacing w:line="105"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3C3CD"/>
    <w:multiLevelType w:val="singleLevel"/>
    <w:tmpl w:val="4093C3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85836"/>
    <w:rsid w:val="0B5D195B"/>
    <w:rsid w:val="201F1D23"/>
    <w:rsid w:val="277D3BBA"/>
    <w:rsid w:val="29053906"/>
    <w:rsid w:val="4D6973BF"/>
    <w:rsid w:val="4FEC3905"/>
    <w:rsid w:val="5BB16E51"/>
    <w:rsid w:val="6E7C222D"/>
    <w:rsid w:val="7A7A4734"/>
    <w:rsid w:val="7E48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7"/>
      <w:ind w:left="352"/>
      <w:outlineLvl w:val="0"/>
    </w:pPr>
    <w:rPr>
      <w:b/>
      <w:bCs/>
      <w:sz w:val="44"/>
      <w:szCs w:val="44"/>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paragraph" w:styleId="3">
    <w:name w:val="Body Text Indent"/>
    <w:basedOn w:val="1"/>
    <w:qFormat/>
    <w:uiPriority w:val="0"/>
    <w:pPr>
      <w:spacing w:after="120"/>
      <w:ind w:left="420" w:leftChars="200"/>
    </w:pPr>
  </w:style>
  <w:style w:type="paragraph" w:styleId="6">
    <w:name w:val="Body Text"/>
    <w:basedOn w:val="1"/>
    <w:qFormat/>
    <w:uiPriority w:val="1"/>
    <w:rPr>
      <w:sz w:val="21"/>
      <w:szCs w:val="21"/>
    </w:rPr>
  </w:style>
  <w:style w:type="paragraph" w:styleId="7">
    <w:name w:val="footer"/>
    <w:basedOn w:val="1"/>
    <w:qFormat/>
    <w:uiPriority w:val="0"/>
    <w:pPr>
      <w:tabs>
        <w:tab w:val="center" w:pos="4153"/>
        <w:tab w:val="right" w:pos="8306"/>
      </w:tabs>
      <w:snapToGrid w:val="0"/>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unhideWhenUsed/>
    <w:qFormat/>
    <w:uiPriority w:val="2"/>
    <w:tblPr>
      <w:tblCellMar>
        <w:top w:w="0" w:type="dxa"/>
        <w:left w:w="0" w:type="dxa"/>
        <w:bottom w:w="0" w:type="dxa"/>
        <w:right w:w="0" w:type="dxa"/>
      </w:tblCellMar>
    </w:tblPr>
  </w:style>
  <w:style w:type="paragraph" w:customStyle="1" w:styleId="12">
    <w:name w:val="Default"/>
    <w:basedOn w:val="13"/>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3">
    <w:name w:val="正文_1"/>
    <w:basedOn w:val="14"/>
    <w:qFormat/>
    <w:uiPriority w:val="99"/>
    <w:rPr>
      <w:rFonts w:ascii="Calibri" w:hAnsi="Calibri"/>
      <w:sz w:val="21"/>
    </w:rPr>
  </w:style>
  <w:style w:type="paragraph" w:customStyle="1" w:styleId="14">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styleId="15">
    <w:name w:val="List Paragraph"/>
    <w:basedOn w:val="1"/>
    <w:autoRedefine/>
    <w:qFormat/>
    <w:uiPriority w:val="1"/>
    <w:pPr>
      <w:spacing w:before="109"/>
      <w:ind w:left="117" w:firstLine="44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5136</Words>
  <Characters>5228</Characters>
  <Lines>0</Lines>
  <Paragraphs>0</Paragraphs>
  <TotalTime>0</TotalTime>
  <ScaleCrop>false</ScaleCrop>
  <LinksUpToDate>false</LinksUpToDate>
  <CharactersWithSpaces>5675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2026-03-19T06:58:00Z</dcterms:created>
  <dc:creator>qifei</dc:creator>
  <cp:lastModifiedBy>晴朵</cp:lastModifiedBy>
  <dcterms:modified xsi:type="dcterms:W3CDTF">2026-03-20T06:26:14Z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eyJoZGlkIjoiYzAwODZhZjZjY2Y2OTdhNGFlMjg1YTg0NjA1ZjE2Y2MiLCJ1c2VySWQiOiIzNTU3MTU2NzkifQ==</vt:lpwstr>
  </property>
  <property fmtid="{D5CDD505-2E9C-101B-9397-08002B2CF9AE}" pid="4" name="ICV">
    <vt:lpwstr>BC076EE765DD480ABA66AEE879D1DBCD_12</vt:lpwstr>
  </property>
</Properties>
</file>