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A25CD">
      <w:pPr>
        <w:autoSpaceDE/>
        <w:autoSpaceDN/>
        <w:adjustRightInd w:val="0"/>
        <w:snapToGrid w:val="0"/>
        <w:spacing w:line="300" w:lineRule="auto"/>
        <w:rPr>
          <w:rFonts w:hint="eastAsia" w:ascii="黑体" w:hAnsi="黑体" w:eastAsia="黑体" w:cs="黑体"/>
          <w:sz w:val="28"/>
          <w:szCs w:val="36"/>
          <w:lang w:val="en-US"/>
        </w:rPr>
      </w:pPr>
      <w:bookmarkStart w:id="6" w:name="_GoBack"/>
      <w:bookmarkEnd w:id="6"/>
      <w:bookmarkStart w:id="0" w:name="_Toc8984"/>
      <w:bookmarkStart w:id="1" w:name="_Toc24173"/>
      <w:bookmarkStart w:id="2" w:name="_Toc3849"/>
      <w:bookmarkStart w:id="3" w:name="_Toc19945"/>
      <w:bookmarkStart w:id="4" w:name="_Toc12816"/>
      <w:bookmarkStart w:id="5" w:name="_Toc19745"/>
    </w:p>
    <w:p w14:paraId="00ED566E">
      <w:pPr>
        <w:autoSpaceDE/>
        <w:autoSpaceDN/>
        <w:adjustRightInd w:val="0"/>
        <w:snapToGrid w:val="0"/>
        <w:spacing w:line="300" w:lineRule="auto"/>
        <w:rPr>
          <w:rFonts w:ascii="黑体" w:hAnsi="黑体" w:eastAsia="黑体" w:cs="黑体"/>
          <w:sz w:val="28"/>
          <w:szCs w:val="36"/>
          <w:lang w:val="en-US"/>
        </w:rPr>
      </w:pPr>
      <w:r>
        <w:rPr>
          <w:rFonts w:hint="eastAsia" w:ascii="黑体" w:hAnsi="黑体" w:eastAsia="黑体" w:cs="黑体"/>
          <w:sz w:val="28"/>
          <w:szCs w:val="36"/>
          <w:lang w:val="en-US"/>
        </w:rPr>
        <w:t>合同编号：</w:t>
      </w:r>
    </w:p>
    <w:p w14:paraId="2C1970BC">
      <w:pPr>
        <w:autoSpaceDE/>
        <w:autoSpaceDN/>
        <w:adjustRightInd w:val="0"/>
        <w:snapToGrid w:val="0"/>
        <w:spacing w:line="300" w:lineRule="auto"/>
        <w:jc w:val="both"/>
        <w:rPr>
          <w:rFonts w:ascii="黑体" w:hAnsi="黑体" w:eastAsia="黑体" w:cs="黑体"/>
          <w:sz w:val="28"/>
          <w:szCs w:val="36"/>
          <w:lang w:val="en-US"/>
        </w:rPr>
      </w:pPr>
    </w:p>
    <w:p w14:paraId="6706ADAB">
      <w:pPr>
        <w:autoSpaceDE/>
        <w:autoSpaceDN/>
        <w:adjustRightInd w:val="0"/>
        <w:snapToGrid w:val="0"/>
        <w:spacing w:line="300" w:lineRule="auto"/>
        <w:jc w:val="both"/>
        <w:rPr>
          <w:rFonts w:ascii="黑体" w:hAnsi="黑体" w:eastAsia="黑体" w:cs="黑体"/>
          <w:sz w:val="28"/>
          <w:szCs w:val="36"/>
          <w:lang w:val="en-US"/>
        </w:rPr>
      </w:pPr>
    </w:p>
    <w:p w14:paraId="06416881">
      <w:pPr>
        <w:autoSpaceDE/>
        <w:autoSpaceDN/>
        <w:adjustRightInd w:val="0"/>
        <w:snapToGrid w:val="0"/>
        <w:spacing w:line="300" w:lineRule="auto"/>
        <w:jc w:val="both"/>
        <w:rPr>
          <w:rFonts w:ascii="黑体" w:hAnsi="黑体" w:eastAsia="黑体" w:cs="黑体"/>
          <w:sz w:val="28"/>
          <w:szCs w:val="36"/>
          <w:lang w:val="en-US"/>
        </w:rPr>
      </w:pPr>
    </w:p>
    <w:p w14:paraId="1652E3E6">
      <w:pPr>
        <w:autoSpaceDE/>
        <w:autoSpaceDN/>
        <w:adjustRightInd w:val="0"/>
        <w:snapToGrid w:val="0"/>
        <w:spacing w:line="300" w:lineRule="auto"/>
        <w:jc w:val="both"/>
        <w:rPr>
          <w:rFonts w:ascii="黑体" w:hAnsi="黑体" w:eastAsia="黑体" w:cs="黑体"/>
          <w:sz w:val="28"/>
          <w:szCs w:val="36"/>
          <w:lang w:val="en-US"/>
        </w:rPr>
      </w:pPr>
    </w:p>
    <w:p w14:paraId="04FDA987">
      <w:pPr>
        <w:autoSpaceDE/>
        <w:autoSpaceDN/>
        <w:adjustRightInd w:val="0"/>
        <w:snapToGrid w:val="0"/>
        <w:spacing w:line="300" w:lineRule="auto"/>
        <w:jc w:val="both"/>
        <w:rPr>
          <w:rFonts w:ascii="黑体" w:hAnsi="黑体" w:eastAsia="黑体" w:cs="黑体"/>
          <w:sz w:val="28"/>
          <w:szCs w:val="36"/>
          <w:lang w:val="en-US"/>
        </w:rPr>
      </w:pPr>
    </w:p>
    <w:p w14:paraId="125D51A6">
      <w:pPr>
        <w:autoSpaceDE/>
        <w:autoSpaceDN/>
        <w:adjustRightInd w:val="0"/>
        <w:snapToGrid w:val="0"/>
        <w:spacing w:line="300" w:lineRule="auto"/>
        <w:jc w:val="both"/>
        <w:rPr>
          <w:rFonts w:ascii="黑体" w:hAnsi="黑体" w:eastAsia="黑体" w:cs="黑体"/>
          <w:sz w:val="28"/>
          <w:szCs w:val="36"/>
          <w:lang w:val="en-US"/>
        </w:rPr>
      </w:pPr>
    </w:p>
    <w:p w14:paraId="21120A39">
      <w:pPr>
        <w:autoSpaceDE/>
        <w:autoSpaceDN/>
        <w:adjustRightInd w:val="0"/>
        <w:snapToGrid w:val="0"/>
        <w:spacing w:line="300" w:lineRule="auto"/>
        <w:jc w:val="both"/>
        <w:rPr>
          <w:rFonts w:ascii="黑体" w:hAnsi="黑体" w:eastAsia="黑体" w:cs="黑体"/>
          <w:sz w:val="28"/>
          <w:szCs w:val="36"/>
          <w:lang w:val="en-US"/>
        </w:rPr>
      </w:pPr>
    </w:p>
    <w:p w14:paraId="4C1EFA08">
      <w:pPr>
        <w:autoSpaceDE/>
        <w:autoSpaceDN/>
        <w:adjustRightInd w:val="0"/>
        <w:snapToGrid w:val="0"/>
        <w:spacing w:line="300" w:lineRule="auto"/>
        <w:jc w:val="both"/>
        <w:rPr>
          <w:rFonts w:ascii="黑体" w:hAnsi="黑体" w:eastAsia="黑体" w:cs="黑体"/>
          <w:sz w:val="28"/>
          <w:szCs w:val="36"/>
          <w:lang w:val="en-US"/>
        </w:rPr>
      </w:pPr>
    </w:p>
    <w:p w14:paraId="5B6AF021">
      <w:pPr>
        <w:autoSpaceDE/>
        <w:autoSpaceDN/>
        <w:adjustRightInd w:val="0"/>
        <w:snapToGrid w:val="0"/>
        <w:spacing w:line="300" w:lineRule="auto"/>
        <w:jc w:val="center"/>
        <w:outlineLvl w:val="0"/>
        <w:rPr>
          <w:rFonts w:ascii="仿宋" w:hAnsi="仿宋" w:eastAsia="仿宋" w:cs="仿宋"/>
          <w:b/>
          <w:bCs/>
          <w:sz w:val="44"/>
          <w:szCs w:val="44"/>
          <w:lang w:val="en-US"/>
        </w:rPr>
      </w:pPr>
      <w:r>
        <w:rPr>
          <w:rFonts w:hint="eastAsia" w:ascii="仿宋" w:hAnsi="仿宋" w:eastAsia="仿宋" w:cs="仿宋"/>
          <w:b/>
          <w:bCs/>
          <w:spacing w:val="20"/>
          <w:sz w:val="44"/>
          <w:szCs w:val="44"/>
          <w:lang w:val="en-US" w:eastAsia="zh-CN"/>
        </w:rPr>
        <w:t>2025年第三批次试验检测设备采购项目（</w:t>
      </w:r>
      <w:r>
        <w:rPr>
          <w:rFonts w:hint="eastAsia" w:ascii="仿宋" w:hAnsi="仿宋" w:eastAsia="仿宋" w:cs="仿宋"/>
          <w:b/>
          <w:bCs/>
          <w:spacing w:val="20"/>
          <w:sz w:val="44"/>
          <w:szCs w:val="44"/>
          <w:u w:val="none"/>
          <w:lang w:val="en-US" w:eastAsia="zh-CN"/>
        </w:rPr>
        <w:t>包1</w:t>
      </w:r>
      <w:r>
        <w:rPr>
          <w:rFonts w:hint="eastAsia" w:ascii="仿宋" w:hAnsi="仿宋" w:eastAsia="仿宋" w:cs="仿宋"/>
          <w:b/>
          <w:bCs/>
          <w:spacing w:val="20"/>
          <w:sz w:val="44"/>
          <w:szCs w:val="44"/>
          <w:lang w:val="en-US" w:eastAsia="zh-CN"/>
        </w:rPr>
        <w:t>）（第二次）</w:t>
      </w:r>
      <w:r>
        <w:rPr>
          <w:rFonts w:hint="eastAsia" w:ascii="仿宋" w:hAnsi="仿宋" w:eastAsia="仿宋" w:cs="仿宋"/>
          <w:b/>
          <w:bCs/>
          <w:sz w:val="44"/>
          <w:szCs w:val="44"/>
          <w:lang w:val="en-US"/>
        </w:rPr>
        <w:t>外部采购合同</w:t>
      </w:r>
    </w:p>
    <w:p w14:paraId="308AF90E">
      <w:pPr>
        <w:autoSpaceDE/>
        <w:autoSpaceDN/>
        <w:adjustRightInd w:val="0"/>
        <w:snapToGrid w:val="0"/>
        <w:spacing w:line="300" w:lineRule="auto"/>
        <w:jc w:val="both"/>
        <w:rPr>
          <w:rFonts w:ascii="黑体" w:hAnsi="黑体" w:eastAsia="黑体" w:cs="黑体"/>
          <w:sz w:val="28"/>
          <w:szCs w:val="36"/>
          <w:lang w:val="en-US"/>
        </w:rPr>
      </w:pPr>
    </w:p>
    <w:p w14:paraId="5E816A79">
      <w:pPr>
        <w:autoSpaceDE/>
        <w:autoSpaceDN/>
        <w:adjustRightInd w:val="0"/>
        <w:snapToGrid w:val="0"/>
        <w:spacing w:line="300" w:lineRule="auto"/>
        <w:jc w:val="both"/>
        <w:rPr>
          <w:rFonts w:ascii="黑体" w:hAnsi="黑体" w:eastAsia="黑体" w:cs="黑体"/>
          <w:sz w:val="28"/>
          <w:szCs w:val="36"/>
          <w:lang w:val="en-US"/>
        </w:rPr>
      </w:pPr>
    </w:p>
    <w:p w14:paraId="25DE7C60">
      <w:pPr>
        <w:autoSpaceDE/>
        <w:autoSpaceDN/>
        <w:adjustRightInd w:val="0"/>
        <w:snapToGrid w:val="0"/>
        <w:spacing w:line="300" w:lineRule="auto"/>
        <w:jc w:val="both"/>
        <w:rPr>
          <w:rFonts w:ascii="黑体" w:hAnsi="黑体" w:eastAsia="黑体" w:cs="黑体"/>
          <w:sz w:val="28"/>
          <w:szCs w:val="36"/>
          <w:lang w:val="en-US"/>
        </w:rPr>
      </w:pPr>
    </w:p>
    <w:p w14:paraId="7C5F121F">
      <w:pPr>
        <w:autoSpaceDE/>
        <w:autoSpaceDN/>
        <w:adjustRightInd w:val="0"/>
        <w:snapToGrid w:val="0"/>
        <w:spacing w:line="300" w:lineRule="auto"/>
        <w:jc w:val="both"/>
        <w:rPr>
          <w:rFonts w:ascii="黑体" w:hAnsi="黑体" w:eastAsia="黑体" w:cs="黑体"/>
          <w:sz w:val="28"/>
          <w:szCs w:val="36"/>
          <w:lang w:val="en-US"/>
        </w:rPr>
      </w:pPr>
    </w:p>
    <w:p w14:paraId="66471CBB">
      <w:pPr>
        <w:autoSpaceDE/>
        <w:autoSpaceDN/>
        <w:adjustRightInd w:val="0"/>
        <w:snapToGrid w:val="0"/>
        <w:spacing w:line="300" w:lineRule="auto"/>
        <w:jc w:val="both"/>
        <w:rPr>
          <w:rFonts w:ascii="黑体" w:hAnsi="黑体" w:eastAsia="黑体" w:cs="黑体"/>
          <w:sz w:val="28"/>
          <w:szCs w:val="36"/>
          <w:lang w:val="en-US"/>
        </w:rPr>
      </w:pPr>
    </w:p>
    <w:p w14:paraId="51261A4F">
      <w:pPr>
        <w:autoSpaceDE/>
        <w:autoSpaceDN/>
        <w:adjustRightInd w:val="0"/>
        <w:snapToGrid w:val="0"/>
        <w:spacing w:line="300" w:lineRule="auto"/>
        <w:jc w:val="both"/>
        <w:rPr>
          <w:rFonts w:ascii="黑体" w:hAnsi="黑体" w:eastAsia="黑体" w:cs="黑体"/>
          <w:sz w:val="28"/>
          <w:szCs w:val="36"/>
          <w:lang w:val="en-US"/>
        </w:rPr>
      </w:pPr>
    </w:p>
    <w:p w14:paraId="3DCC2383">
      <w:pPr>
        <w:autoSpaceDE/>
        <w:autoSpaceDN/>
        <w:adjustRightInd w:val="0"/>
        <w:snapToGrid w:val="0"/>
        <w:spacing w:line="300" w:lineRule="auto"/>
        <w:jc w:val="both"/>
        <w:rPr>
          <w:rFonts w:ascii="黑体" w:hAnsi="黑体" w:eastAsia="黑体" w:cs="黑体"/>
          <w:sz w:val="28"/>
          <w:szCs w:val="36"/>
          <w:lang w:val="en-US"/>
        </w:rPr>
      </w:pPr>
    </w:p>
    <w:p w14:paraId="5B7B381F">
      <w:pPr>
        <w:autoSpaceDE/>
        <w:autoSpaceDN/>
        <w:adjustRightInd w:val="0"/>
        <w:snapToGrid w:val="0"/>
        <w:spacing w:line="300" w:lineRule="auto"/>
        <w:jc w:val="both"/>
        <w:rPr>
          <w:rFonts w:ascii="黑体" w:hAnsi="黑体" w:eastAsia="黑体" w:cs="黑体"/>
          <w:sz w:val="28"/>
          <w:szCs w:val="36"/>
          <w:lang w:val="en-US"/>
        </w:rPr>
      </w:pPr>
    </w:p>
    <w:tbl>
      <w:tblPr>
        <w:tblStyle w:val="24"/>
        <w:tblW w:w="824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003"/>
      </w:tblGrid>
      <w:tr w14:paraId="124CF729">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vAlign w:val="center"/>
          </w:tcPr>
          <w:p w14:paraId="2124EDCE">
            <w:pPr>
              <w:autoSpaceDE/>
              <w:autoSpaceDN/>
              <w:adjustRightInd w:val="0"/>
              <w:snapToGrid w:val="0"/>
              <w:ind w:left="992" w:hanging="992" w:hangingChars="310"/>
              <w:jc w:val="center"/>
              <w:rPr>
                <w:rFonts w:ascii="楷体" w:hAnsi="楷体" w:eastAsia="楷体" w:cs="楷体"/>
                <w:bCs/>
                <w:sz w:val="32"/>
                <w:szCs w:val="32"/>
                <w:u w:val="single"/>
              </w:rPr>
            </w:pPr>
            <w:r>
              <w:rPr>
                <w:rFonts w:hint="eastAsia" w:ascii="楷体" w:hAnsi="楷体" w:eastAsia="楷体" w:cs="楷体"/>
                <w:bCs/>
                <w:sz w:val="32"/>
                <w:szCs w:val="32"/>
              </w:rPr>
              <w:t>买方（甲方）：</w:t>
            </w:r>
          </w:p>
        </w:tc>
        <w:tc>
          <w:tcPr>
            <w:tcW w:w="6003" w:type="dxa"/>
            <w:tcBorders>
              <w:left w:val="nil"/>
              <w:bottom w:val="single" w:color="auto" w:sz="4" w:space="0"/>
              <w:right w:val="nil"/>
            </w:tcBorders>
            <w:vAlign w:val="center"/>
          </w:tcPr>
          <w:p w14:paraId="20C3CAEF">
            <w:pPr>
              <w:autoSpaceDE/>
              <w:autoSpaceDN/>
              <w:adjustRightInd w:val="0"/>
              <w:snapToGrid w:val="0"/>
              <w:jc w:val="center"/>
              <w:rPr>
                <w:rFonts w:ascii="楷体" w:hAnsi="楷体" w:eastAsia="楷体" w:cs="楷体"/>
                <w:bCs/>
                <w:sz w:val="32"/>
                <w:szCs w:val="32"/>
                <w:lang w:val="en-US"/>
              </w:rPr>
            </w:pPr>
            <w:r>
              <w:rPr>
                <w:rFonts w:hint="eastAsia" w:ascii="楷体" w:hAnsi="楷体" w:eastAsia="楷体" w:cs="楷体"/>
                <w:bCs/>
                <w:sz w:val="32"/>
                <w:szCs w:val="32"/>
                <w:lang w:val="en-US"/>
              </w:rPr>
              <w:t>四川济通工程试验检测有限公司</w:t>
            </w:r>
          </w:p>
        </w:tc>
      </w:tr>
      <w:tr w14:paraId="192360BB">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vAlign w:val="center"/>
          </w:tcPr>
          <w:p w14:paraId="2DB2AC8C">
            <w:pPr>
              <w:autoSpaceDE/>
              <w:autoSpaceDN/>
              <w:adjustRightInd w:val="0"/>
              <w:snapToGrid w:val="0"/>
              <w:jc w:val="center"/>
              <w:rPr>
                <w:rFonts w:ascii="楷体" w:hAnsi="楷体" w:eastAsia="楷体" w:cs="楷体"/>
                <w:bCs/>
                <w:sz w:val="32"/>
                <w:szCs w:val="32"/>
              </w:rPr>
            </w:pPr>
            <w:r>
              <w:rPr>
                <w:rFonts w:hint="eastAsia" w:ascii="楷体" w:hAnsi="楷体" w:eastAsia="楷体" w:cs="楷体"/>
                <w:bCs/>
                <w:sz w:val="32"/>
                <w:szCs w:val="32"/>
              </w:rPr>
              <w:t>卖方（乙方）：</w:t>
            </w:r>
          </w:p>
        </w:tc>
        <w:tc>
          <w:tcPr>
            <w:tcW w:w="6003" w:type="dxa"/>
            <w:tcBorders>
              <w:top w:val="single" w:color="auto" w:sz="4" w:space="0"/>
              <w:left w:val="nil"/>
              <w:bottom w:val="single" w:color="auto" w:sz="4" w:space="0"/>
              <w:right w:val="nil"/>
            </w:tcBorders>
            <w:vAlign w:val="center"/>
          </w:tcPr>
          <w:p w14:paraId="3A9249BB">
            <w:pPr>
              <w:autoSpaceDE/>
              <w:autoSpaceDN/>
              <w:adjustRightInd w:val="0"/>
              <w:snapToGrid w:val="0"/>
              <w:jc w:val="center"/>
              <w:rPr>
                <w:rFonts w:ascii="楷体" w:hAnsi="楷体" w:eastAsia="楷体" w:cs="楷体"/>
                <w:bCs/>
                <w:sz w:val="32"/>
                <w:szCs w:val="32"/>
              </w:rPr>
            </w:pPr>
          </w:p>
        </w:tc>
      </w:tr>
    </w:tbl>
    <w:p w14:paraId="7D429895">
      <w:pPr>
        <w:jc w:val="center"/>
        <w:rPr>
          <w:rFonts w:ascii="仿宋_GB2312" w:hAnsi="仿宋_GB2312" w:eastAsia="仿宋_GB2312" w:cs="仿宋_GB2312"/>
          <w:b/>
          <w:sz w:val="30"/>
          <w:szCs w:val="30"/>
        </w:rPr>
      </w:pPr>
    </w:p>
    <w:p w14:paraId="53BB6005">
      <w:pPr>
        <w:jc w:val="center"/>
        <w:rPr>
          <w:rFonts w:ascii="仿宋_GB2312" w:hAnsi="仿宋_GB2312" w:eastAsia="仿宋_GB2312" w:cs="仿宋_GB2312"/>
          <w:b/>
          <w:sz w:val="30"/>
          <w:szCs w:val="30"/>
        </w:rPr>
      </w:pPr>
    </w:p>
    <w:p w14:paraId="7EE4843C">
      <w:pPr>
        <w:spacing w:line="480" w:lineRule="auto"/>
        <w:jc w:val="center"/>
        <w:rPr>
          <w:rFonts w:ascii="楷体" w:hAnsi="楷体" w:eastAsia="楷体" w:cs="楷体"/>
          <w:bCs/>
          <w:sz w:val="32"/>
          <w:szCs w:val="32"/>
          <w:u w:val="single"/>
          <w:lang w:val="en-US"/>
        </w:rPr>
      </w:pPr>
      <w:r>
        <w:rPr>
          <w:rFonts w:hint="eastAsia" w:ascii="楷体" w:hAnsi="楷体" w:eastAsia="楷体" w:cs="楷体"/>
          <w:bCs/>
          <w:sz w:val="32"/>
          <w:szCs w:val="32"/>
        </w:rPr>
        <w:t>签订地点：</w:t>
      </w:r>
      <w:r>
        <w:rPr>
          <w:rFonts w:hint="eastAsia" w:ascii="楷体" w:hAnsi="楷体" w:eastAsia="楷体" w:cs="楷体"/>
          <w:bCs/>
          <w:sz w:val="32"/>
          <w:szCs w:val="32"/>
          <w:u w:val="single"/>
          <w:lang w:val="en-US"/>
        </w:rPr>
        <w:t>成都</w:t>
      </w:r>
    </w:p>
    <w:p w14:paraId="1FB1F898">
      <w:pPr>
        <w:spacing w:line="480" w:lineRule="auto"/>
        <w:jc w:val="center"/>
        <w:rPr>
          <w:rFonts w:ascii="楷体" w:hAnsi="楷体" w:eastAsia="楷体" w:cs="楷体"/>
          <w:bCs/>
          <w:sz w:val="32"/>
          <w:szCs w:val="32"/>
          <w:u w:val="single"/>
        </w:rPr>
      </w:pPr>
      <w:r>
        <w:rPr>
          <w:rFonts w:hint="eastAsia" w:ascii="楷体" w:hAnsi="楷体" w:eastAsia="楷体" w:cs="楷体"/>
          <w:bCs/>
          <w:sz w:val="32"/>
          <w:szCs w:val="32"/>
        </w:rPr>
        <w:t>签订时间：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月</w:t>
      </w:r>
    </w:p>
    <w:p w14:paraId="099AB05F"/>
    <w:p w14:paraId="0E6CD520">
      <w:pPr>
        <w:tabs>
          <w:tab w:val="left" w:pos="2666"/>
        </w:tabs>
        <w:autoSpaceDE/>
        <w:autoSpaceDN/>
        <w:adjustRightInd w:val="0"/>
        <w:snapToGrid w:val="0"/>
        <w:spacing w:line="300" w:lineRule="auto"/>
        <w:rPr>
          <w:rFonts w:ascii="楷体" w:hAnsi="楷体" w:eastAsia="楷体" w:cs="楷体"/>
          <w:sz w:val="32"/>
          <w:szCs w:val="32"/>
          <w:lang w:val="en-US"/>
        </w:rPr>
        <w:sectPr>
          <w:headerReference r:id="rId3" w:type="default"/>
          <w:footerReference r:id="rId4" w:type="default"/>
          <w:pgSz w:w="11906" w:h="16838"/>
          <w:pgMar w:top="850" w:right="850" w:bottom="850" w:left="1417" w:header="851" w:footer="992" w:gutter="0"/>
          <w:pgBorders>
            <w:top w:val="none" w:sz="0" w:space="0"/>
            <w:left w:val="none" w:sz="0" w:space="0"/>
            <w:bottom w:val="none" w:sz="0" w:space="0"/>
            <w:right w:val="none" w:sz="0" w:space="0"/>
          </w:pgBorders>
          <w:cols w:space="425" w:num="1"/>
          <w:docGrid w:type="lines" w:linePitch="312" w:charSpace="0"/>
        </w:sectPr>
      </w:pPr>
    </w:p>
    <w:p w14:paraId="29E5C565">
      <w:pPr>
        <w:tabs>
          <w:tab w:val="left" w:pos="2666"/>
        </w:tabs>
        <w:autoSpaceDE/>
        <w:autoSpaceDN/>
        <w:adjustRightInd w:val="0"/>
        <w:snapToGrid w:val="0"/>
        <w:spacing w:line="30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2025年第三批次试验检测设备采购项目（包1）（第二次）</w:t>
      </w:r>
    </w:p>
    <w:p w14:paraId="238F3960">
      <w:pPr>
        <w:tabs>
          <w:tab w:val="left" w:pos="2666"/>
        </w:tabs>
        <w:autoSpaceDE/>
        <w:autoSpaceDN/>
        <w:adjustRightInd w:val="0"/>
        <w:snapToGrid w:val="0"/>
        <w:spacing w:line="300" w:lineRule="auto"/>
        <w:jc w:val="center"/>
        <w:rPr>
          <w:rFonts w:ascii="黑体" w:hAnsi="黑体" w:eastAsia="黑体" w:cs="黑体"/>
          <w:sz w:val="30"/>
          <w:szCs w:val="30"/>
          <w:lang w:val="en-US"/>
        </w:rPr>
      </w:pPr>
      <w:r>
        <w:rPr>
          <w:rFonts w:hint="eastAsia" w:ascii="黑体" w:hAnsi="黑体" w:eastAsia="黑体" w:cs="黑体"/>
          <w:sz w:val="32"/>
          <w:szCs w:val="32"/>
          <w:lang w:val="en-US"/>
        </w:rPr>
        <w:t>外部采购合同</w:t>
      </w:r>
    </w:p>
    <w:p w14:paraId="4898D624">
      <w:pPr>
        <w:tabs>
          <w:tab w:val="left" w:pos="2666"/>
        </w:tabs>
        <w:autoSpaceDE/>
        <w:autoSpaceDN/>
        <w:adjustRightInd w:val="0"/>
        <w:snapToGrid w:val="0"/>
        <w:spacing w:line="360" w:lineRule="auto"/>
        <w:rPr>
          <w:rFonts w:ascii="黑体" w:hAnsi="黑体" w:eastAsia="黑体" w:cs="黑体"/>
          <w:sz w:val="30"/>
          <w:szCs w:val="30"/>
          <w:lang w:val="en-US"/>
        </w:rPr>
      </w:pPr>
    </w:p>
    <w:p w14:paraId="2A5C0922">
      <w:pPr>
        <w:tabs>
          <w:tab w:val="left" w:pos="2666"/>
        </w:tabs>
        <w:autoSpaceDE/>
        <w:autoSpaceDN/>
        <w:adjustRightInd w:val="0"/>
        <w:snapToGrid w:val="0"/>
        <w:spacing w:line="360" w:lineRule="auto"/>
        <w:rPr>
          <w:rFonts w:ascii="黑体" w:hAnsi="黑体" w:eastAsia="黑体" w:cs="黑体"/>
          <w:sz w:val="28"/>
          <w:szCs w:val="28"/>
          <w:lang w:val="en-US"/>
        </w:rPr>
      </w:pPr>
      <w:r>
        <w:rPr>
          <w:rFonts w:hint="eastAsia" w:ascii="黑体" w:hAnsi="黑体" w:eastAsia="黑体" w:cs="黑体"/>
          <w:sz w:val="28"/>
          <w:szCs w:val="28"/>
          <w:lang w:val="en-US"/>
        </w:rPr>
        <w:t>甲方：四川济通工程试验检测有限公司</w:t>
      </w:r>
    </w:p>
    <w:p w14:paraId="27D71FF7">
      <w:pPr>
        <w:autoSpaceDE/>
        <w:autoSpaceDN/>
        <w:adjustRightInd w:val="0"/>
        <w:snapToGrid w:val="0"/>
        <w:spacing w:line="360" w:lineRule="auto"/>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乙方：</w:t>
      </w:r>
    </w:p>
    <w:p w14:paraId="02F20C91">
      <w:pPr>
        <w:autoSpaceDE/>
        <w:autoSpaceDN/>
        <w:adjustRightInd w:val="0"/>
        <w:snapToGrid w:val="0"/>
        <w:spacing w:line="360" w:lineRule="auto"/>
        <w:ind w:firstLine="480" w:firstLineChars="200"/>
        <w:rPr>
          <w:kern w:val="2"/>
          <w:sz w:val="24"/>
          <w:szCs w:val="24"/>
          <w:lang w:val="en-US" w:bidi="ar-SA"/>
        </w:rPr>
      </w:pPr>
    </w:p>
    <w:p w14:paraId="1AD8D53E">
      <w:pPr>
        <w:autoSpaceDE/>
        <w:autoSpaceDN/>
        <w:adjustRightInd w:val="0"/>
        <w:snapToGrid w:val="0"/>
        <w:spacing w:line="360" w:lineRule="auto"/>
        <w:ind w:firstLine="480" w:firstLineChars="200"/>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根据《中华人民共和国</w:t>
      </w:r>
      <w:r>
        <w:rPr>
          <w:rFonts w:ascii="Times New Roman" w:hAnsi="Times New Roman" w:cs="Times New Roman"/>
          <w:kern w:val="2"/>
          <w:sz w:val="24"/>
          <w:szCs w:val="24"/>
          <w:lang w:bidi="ar-SA"/>
        </w:rPr>
        <w:t>民法典</w:t>
      </w:r>
      <w:r>
        <w:rPr>
          <w:rFonts w:ascii="Times New Roman" w:hAnsi="Times New Roman" w:cs="Times New Roman"/>
          <w:kern w:val="2"/>
          <w:sz w:val="24"/>
          <w:szCs w:val="24"/>
          <w:lang w:val="en-US" w:bidi="ar-SA"/>
        </w:rPr>
        <w:t>》以及其他相关法律法规规定，遵循平等、自愿、公平和诚实信用的原则，甲乙双方就设备采购事宜协商一致，签订本合同。</w:t>
      </w:r>
    </w:p>
    <w:p w14:paraId="0B7978B5">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第一条 </w:t>
      </w:r>
      <w:r>
        <w:rPr>
          <w:rFonts w:ascii="Times New Roman" w:hAnsi="Times New Roman" w:cs="Times New Roman"/>
          <w:b/>
          <w:bCs/>
          <w:kern w:val="2"/>
          <w:sz w:val="28"/>
          <w:szCs w:val="28"/>
          <w:lang w:val="en-US" w:bidi="ar-SA"/>
        </w:rPr>
        <w:t>采购内容</w:t>
      </w:r>
    </w:p>
    <w:p w14:paraId="4E185F51">
      <w:pPr>
        <w:autoSpaceDE/>
        <w:autoSpaceDN/>
        <w:adjustRightInd w:val="0"/>
        <w:snapToGrid w:val="0"/>
        <w:spacing w:line="300" w:lineRule="auto"/>
        <w:jc w:val="center"/>
        <w:rPr>
          <w:rFonts w:ascii="Times New Roman" w:hAnsi="Times New Roman" w:cs="Times New Roman"/>
          <w:b/>
          <w:bCs/>
          <w:kern w:val="2"/>
          <w:sz w:val="24"/>
          <w:szCs w:val="24"/>
          <w:lang w:val="en-US" w:bidi="ar-SA"/>
        </w:rPr>
      </w:pPr>
      <w:r>
        <w:rPr>
          <w:rFonts w:ascii="Times New Roman" w:hAnsi="Times New Roman" w:cs="Times New Roman"/>
          <w:b/>
          <w:bCs/>
          <w:kern w:val="2"/>
          <w:sz w:val="24"/>
          <w:szCs w:val="24"/>
          <w:lang w:val="en-US" w:bidi="ar-SA"/>
        </w:rPr>
        <w:t>采购</w:t>
      </w:r>
      <w:r>
        <w:rPr>
          <w:rFonts w:hint="eastAsia" w:ascii="Times New Roman" w:hAnsi="Times New Roman" w:cs="Times New Roman"/>
          <w:b/>
          <w:bCs/>
          <w:kern w:val="2"/>
          <w:sz w:val="24"/>
          <w:szCs w:val="24"/>
          <w:lang w:val="en-US" w:bidi="ar-SA"/>
        </w:rPr>
        <w:t>设备</w:t>
      </w:r>
      <w:r>
        <w:rPr>
          <w:rFonts w:hint="eastAsia" w:ascii="Times New Roman" w:hAnsi="Times New Roman" w:cs="Times New Roman"/>
          <w:b/>
          <w:bCs/>
          <w:kern w:val="2"/>
          <w:sz w:val="24"/>
          <w:szCs w:val="24"/>
          <w:lang w:val="en-US" w:eastAsia="zh-CN" w:bidi="ar-SA"/>
        </w:rPr>
        <w:t>及</w:t>
      </w:r>
      <w:r>
        <w:rPr>
          <w:rFonts w:hint="eastAsia" w:ascii="Times New Roman" w:hAnsi="Times New Roman" w:eastAsia="宋体" w:cs="Times New Roman"/>
          <w:b/>
          <w:bCs/>
          <w:sz w:val="24"/>
          <w:szCs w:val="24"/>
          <w:lang w:val="en-US" w:eastAsia="zh-CN"/>
        </w:rPr>
        <w:t>低值易耗设施</w:t>
      </w:r>
      <w:r>
        <w:rPr>
          <w:rFonts w:hint="eastAsia" w:ascii="Times New Roman" w:hAnsi="Times New Roman" w:cs="Times New Roman"/>
          <w:b/>
          <w:bCs/>
          <w:kern w:val="2"/>
          <w:sz w:val="24"/>
          <w:szCs w:val="24"/>
          <w:lang w:val="en-US" w:bidi="ar-SA"/>
        </w:rPr>
        <w:t>明细</w:t>
      </w:r>
      <w:r>
        <w:rPr>
          <w:rFonts w:ascii="Times New Roman" w:hAnsi="Times New Roman" w:cs="Times New Roman"/>
          <w:b/>
          <w:bCs/>
          <w:kern w:val="2"/>
          <w:sz w:val="24"/>
          <w:szCs w:val="24"/>
          <w:lang w:val="en-US" w:bidi="ar-SA"/>
        </w:rPr>
        <w:t>表</w:t>
      </w:r>
    </w:p>
    <w:tbl>
      <w:tblPr>
        <w:tblStyle w:val="23"/>
        <w:tblW w:w="4878" w:type="pct"/>
        <w:tblInd w:w="11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2506"/>
        <w:gridCol w:w="1233"/>
        <w:gridCol w:w="999"/>
        <w:gridCol w:w="1261"/>
        <w:gridCol w:w="1211"/>
        <w:gridCol w:w="727"/>
      </w:tblGrid>
      <w:tr w14:paraId="067309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tblHeader/>
        </w:trPr>
        <w:tc>
          <w:tcPr>
            <w:tcW w:w="456" w:type="pct"/>
            <w:tcBorders>
              <w:tl2br w:val="nil"/>
              <w:tr2bl w:val="nil"/>
            </w:tcBorders>
            <w:vAlign w:val="center"/>
          </w:tcPr>
          <w:p w14:paraId="180D7CAC">
            <w:pPr>
              <w:widowControl/>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lang w:val="en-US" w:bidi="ar"/>
              </w:rPr>
              <w:t>序号</w:t>
            </w:r>
          </w:p>
        </w:tc>
        <w:tc>
          <w:tcPr>
            <w:tcW w:w="1434" w:type="pct"/>
            <w:tcBorders>
              <w:tl2br w:val="nil"/>
              <w:tr2bl w:val="nil"/>
            </w:tcBorders>
            <w:noWrap/>
            <w:vAlign w:val="center"/>
          </w:tcPr>
          <w:p w14:paraId="58748895">
            <w:pPr>
              <w:widowControl/>
              <w:jc w:val="center"/>
              <w:textAlignment w:val="center"/>
              <w:rPr>
                <w:rFonts w:ascii="Times New Roman" w:hAnsi="Times New Roman" w:cs="Times New Roman" w:eastAsiaTheme="minorEastAsia"/>
                <w:b/>
                <w:bCs/>
                <w:color w:val="000000"/>
                <w:sz w:val="24"/>
                <w:szCs w:val="24"/>
                <w:lang w:val="en-US" w:bidi="ar"/>
              </w:rPr>
            </w:pPr>
            <w:r>
              <w:rPr>
                <w:rFonts w:hint="eastAsia" w:ascii="Times New Roman" w:hAnsi="Times New Roman" w:cs="Times New Roman"/>
                <w:b/>
                <w:bCs/>
                <w:kern w:val="2"/>
                <w:sz w:val="24"/>
                <w:szCs w:val="24"/>
                <w:lang w:val="en-US" w:bidi="ar-SA"/>
              </w:rPr>
              <w:t>设备</w:t>
            </w:r>
          </w:p>
        </w:tc>
        <w:tc>
          <w:tcPr>
            <w:tcW w:w="705" w:type="pct"/>
            <w:tcBorders>
              <w:tl2br w:val="nil"/>
              <w:tr2bl w:val="nil"/>
            </w:tcBorders>
            <w:vAlign w:val="center"/>
          </w:tcPr>
          <w:p w14:paraId="09A89B84">
            <w:pPr>
              <w:widowControl/>
              <w:jc w:val="center"/>
              <w:textAlignment w:val="center"/>
              <w:rPr>
                <w:rFonts w:ascii="Times New Roman" w:hAnsi="Times New Roman" w:cs="Times New Roman" w:eastAsiaTheme="minorEastAsia"/>
                <w:b/>
                <w:bCs/>
                <w:color w:val="000000"/>
                <w:sz w:val="24"/>
                <w:szCs w:val="24"/>
                <w:lang w:val="en-US" w:bidi="ar"/>
              </w:rPr>
            </w:pPr>
            <w:r>
              <w:rPr>
                <w:rFonts w:ascii="Times New Roman" w:hAnsi="Times New Roman" w:cs="Times New Roman" w:eastAsiaTheme="minorEastAsia"/>
                <w:b/>
                <w:bCs/>
                <w:color w:val="000000"/>
                <w:sz w:val="24"/>
                <w:szCs w:val="24"/>
                <w:lang w:val="en-US" w:bidi="ar"/>
              </w:rPr>
              <w:t>需求数量</w:t>
            </w:r>
          </w:p>
        </w:tc>
        <w:tc>
          <w:tcPr>
            <w:tcW w:w="571" w:type="pct"/>
            <w:tcBorders>
              <w:tl2br w:val="nil"/>
              <w:tr2bl w:val="nil"/>
            </w:tcBorders>
            <w:vAlign w:val="center"/>
          </w:tcPr>
          <w:p w14:paraId="2462D333">
            <w:pPr>
              <w:widowControl/>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lang w:val="en-US" w:bidi="ar"/>
              </w:rPr>
              <w:t>单位</w:t>
            </w:r>
          </w:p>
        </w:tc>
        <w:tc>
          <w:tcPr>
            <w:tcW w:w="721" w:type="pct"/>
            <w:tcBorders>
              <w:tl2br w:val="nil"/>
              <w:tr2bl w:val="nil"/>
            </w:tcBorders>
            <w:vAlign w:val="center"/>
          </w:tcPr>
          <w:p w14:paraId="6B191872">
            <w:pPr>
              <w:widowControl/>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lang w:val="en-US" w:bidi="ar"/>
              </w:rPr>
              <w:t>单价（元）</w:t>
            </w:r>
          </w:p>
        </w:tc>
        <w:tc>
          <w:tcPr>
            <w:tcW w:w="693" w:type="pct"/>
            <w:tcBorders>
              <w:tl2br w:val="nil"/>
              <w:tr2bl w:val="nil"/>
            </w:tcBorders>
            <w:vAlign w:val="center"/>
          </w:tcPr>
          <w:p w14:paraId="70B6027D">
            <w:pPr>
              <w:widowControl/>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lang w:val="en-US" w:bidi="ar"/>
              </w:rPr>
              <w:t>小计（元）</w:t>
            </w:r>
          </w:p>
        </w:tc>
        <w:tc>
          <w:tcPr>
            <w:tcW w:w="416" w:type="pct"/>
            <w:tcBorders>
              <w:tl2br w:val="nil"/>
              <w:tr2bl w:val="nil"/>
            </w:tcBorders>
            <w:vAlign w:val="center"/>
          </w:tcPr>
          <w:p w14:paraId="118A6C8D">
            <w:pPr>
              <w:widowControl/>
              <w:jc w:val="center"/>
              <w:textAlignment w:val="center"/>
              <w:rPr>
                <w:rFonts w:ascii="Times New Roman" w:hAnsi="Times New Roman" w:cs="Times New Roman" w:eastAsiaTheme="minorEastAsia"/>
                <w:b/>
                <w:bCs/>
                <w:color w:val="000000"/>
                <w:sz w:val="24"/>
                <w:szCs w:val="24"/>
                <w:lang w:val="en-US" w:bidi="ar"/>
              </w:rPr>
            </w:pPr>
            <w:r>
              <w:rPr>
                <w:rFonts w:ascii="Times New Roman" w:hAnsi="Times New Roman" w:cs="Times New Roman" w:eastAsiaTheme="minorEastAsia"/>
                <w:b/>
                <w:bCs/>
                <w:color w:val="000000"/>
                <w:sz w:val="24"/>
                <w:szCs w:val="24"/>
                <w:lang w:val="en-US" w:bidi="ar"/>
              </w:rPr>
              <w:t>备注</w:t>
            </w:r>
          </w:p>
        </w:tc>
      </w:tr>
      <w:tr w14:paraId="4773D4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56" w:type="pct"/>
            <w:tcBorders>
              <w:tl2br w:val="nil"/>
              <w:tr2bl w:val="nil"/>
            </w:tcBorders>
            <w:vAlign w:val="center"/>
          </w:tcPr>
          <w:p w14:paraId="0640811E">
            <w:pPr>
              <w:widowControl/>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sz w:val="24"/>
                <w:szCs w:val="24"/>
                <w:lang w:val="en-US" w:bidi="ar"/>
              </w:rPr>
              <w:t>1</w:t>
            </w:r>
          </w:p>
        </w:tc>
        <w:tc>
          <w:tcPr>
            <w:tcW w:w="1434" w:type="pct"/>
            <w:tcBorders>
              <w:tl2br w:val="nil"/>
              <w:tr2bl w:val="nil"/>
            </w:tcBorders>
            <w:vAlign w:val="center"/>
          </w:tcPr>
          <w:p w14:paraId="73A61AE9">
            <w:pPr>
              <w:widowControl/>
              <w:jc w:val="center"/>
              <w:textAlignment w:val="center"/>
              <w:rPr>
                <w:rFonts w:ascii="Times New Roman" w:hAnsi="Times New Roman" w:cs="Times New Roman" w:eastAsiaTheme="minorEastAsia"/>
                <w:color w:val="000000"/>
                <w:sz w:val="24"/>
                <w:szCs w:val="24"/>
              </w:rPr>
            </w:pPr>
          </w:p>
        </w:tc>
        <w:tc>
          <w:tcPr>
            <w:tcW w:w="705" w:type="pct"/>
            <w:tcBorders>
              <w:tl2br w:val="nil"/>
              <w:tr2bl w:val="nil"/>
            </w:tcBorders>
            <w:vAlign w:val="center"/>
          </w:tcPr>
          <w:p w14:paraId="466353A1">
            <w:pPr>
              <w:widowControl/>
              <w:jc w:val="center"/>
              <w:textAlignment w:val="center"/>
              <w:rPr>
                <w:rFonts w:ascii="Times New Roman" w:hAnsi="Times New Roman" w:cs="Times New Roman" w:eastAsiaTheme="minorEastAsia"/>
                <w:color w:val="000000"/>
                <w:sz w:val="24"/>
                <w:szCs w:val="24"/>
              </w:rPr>
            </w:pPr>
          </w:p>
        </w:tc>
        <w:tc>
          <w:tcPr>
            <w:tcW w:w="571" w:type="pct"/>
            <w:tcBorders>
              <w:tl2br w:val="nil"/>
              <w:tr2bl w:val="nil"/>
            </w:tcBorders>
            <w:vAlign w:val="center"/>
          </w:tcPr>
          <w:p w14:paraId="6B8C3269">
            <w:pPr>
              <w:widowControl/>
              <w:jc w:val="center"/>
              <w:textAlignment w:val="center"/>
              <w:rPr>
                <w:rFonts w:ascii="Times New Roman" w:hAnsi="Times New Roman" w:cs="Times New Roman" w:eastAsiaTheme="minorEastAsia"/>
                <w:color w:val="000000"/>
                <w:sz w:val="24"/>
                <w:szCs w:val="24"/>
              </w:rPr>
            </w:pPr>
          </w:p>
        </w:tc>
        <w:tc>
          <w:tcPr>
            <w:tcW w:w="721" w:type="pct"/>
            <w:tcBorders>
              <w:tl2br w:val="nil"/>
              <w:tr2bl w:val="nil"/>
            </w:tcBorders>
            <w:vAlign w:val="center"/>
          </w:tcPr>
          <w:p w14:paraId="7C76C7B3">
            <w:pPr>
              <w:widowControl/>
              <w:jc w:val="center"/>
              <w:textAlignment w:val="center"/>
              <w:rPr>
                <w:rFonts w:ascii="Times New Roman" w:hAnsi="Times New Roman" w:cs="Times New Roman" w:eastAsiaTheme="minorEastAsia"/>
                <w:b/>
                <w:bCs/>
                <w:color w:val="000000"/>
                <w:sz w:val="24"/>
                <w:szCs w:val="24"/>
              </w:rPr>
            </w:pPr>
          </w:p>
        </w:tc>
        <w:tc>
          <w:tcPr>
            <w:tcW w:w="693" w:type="pct"/>
            <w:tcBorders>
              <w:tl2br w:val="nil"/>
              <w:tr2bl w:val="nil"/>
            </w:tcBorders>
            <w:vAlign w:val="center"/>
          </w:tcPr>
          <w:p w14:paraId="73D80B0C">
            <w:pPr>
              <w:widowControl/>
              <w:jc w:val="center"/>
              <w:textAlignment w:val="center"/>
              <w:rPr>
                <w:rFonts w:ascii="Times New Roman" w:hAnsi="Times New Roman" w:cs="Times New Roman" w:eastAsiaTheme="minorEastAsia"/>
                <w:color w:val="000000"/>
                <w:sz w:val="24"/>
                <w:szCs w:val="24"/>
              </w:rPr>
            </w:pPr>
          </w:p>
        </w:tc>
        <w:tc>
          <w:tcPr>
            <w:tcW w:w="416" w:type="pct"/>
            <w:tcBorders>
              <w:tl2br w:val="nil"/>
              <w:tr2bl w:val="nil"/>
            </w:tcBorders>
            <w:vAlign w:val="center"/>
          </w:tcPr>
          <w:p w14:paraId="422CB04A">
            <w:pPr>
              <w:jc w:val="center"/>
              <w:rPr>
                <w:rFonts w:ascii="Times New Roman" w:hAnsi="Times New Roman" w:cs="Times New Roman" w:eastAsiaTheme="minorEastAsia"/>
                <w:color w:val="000000"/>
                <w:sz w:val="24"/>
                <w:szCs w:val="24"/>
                <w:lang w:val="en-US"/>
              </w:rPr>
            </w:pPr>
          </w:p>
        </w:tc>
      </w:tr>
      <w:tr w14:paraId="312DB2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56" w:type="pct"/>
            <w:tcBorders>
              <w:tl2br w:val="nil"/>
              <w:tr2bl w:val="nil"/>
            </w:tcBorders>
            <w:vAlign w:val="center"/>
          </w:tcPr>
          <w:p w14:paraId="419E009B">
            <w:pPr>
              <w:widowControl/>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sz w:val="24"/>
                <w:szCs w:val="24"/>
                <w:lang w:val="en-US" w:bidi="ar"/>
              </w:rPr>
              <w:t>2</w:t>
            </w:r>
          </w:p>
        </w:tc>
        <w:tc>
          <w:tcPr>
            <w:tcW w:w="1434" w:type="pct"/>
            <w:tcBorders>
              <w:tl2br w:val="nil"/>
              <w:tr2bl w:val="nil"/>
            </w:tcBorders>
            <w:vAlign w:val="center"/>
          </w:tcPr>
          <w:p w14:paraId="658A157F">
            <w:pPr>
              <w:widowControl/>
              <w:jc w:val="center"/>
              <w:textAlignment w:val="center"/>
              <w:rPr>
                <w:rFonts w:ascii="Times New Roman" w:hAnsi="Times New Roman" w:cs="Times New Roman" w:eastAsiaTheme="minorEastAsia"/>
                <w:color w:val="000000"/>
                <w:sz w:val="24"/>
                <w:szCs w:val="24"/>
              </w:rPr>
            </w:pPr>
          </w:p>
        </w:tc>
        <w:tc>
          <w:tcPr>
            <w:tcW w:w="705" w:type="pct"/>
            <w:tcBorders>
              <w:tl2br w:val="nil"/>
              <w:tr2bl w:val="nil"/>
            </w:tcBorders>
            <w:vAlign w:val="center"/>
          </w:tcPr>
          <w:p w14:paraId="7D678525">
            <w:pPr>
              <w:widowControl/>
              <w:jc w:val="center"/>
              <w:textAlignment w:val="center"/>
              <w:rPr>
                <w:rFonts w:ascii="Times New Roman" w:hAnsi="Times New Roman" w:cs="Times New Roman" w:eastAsiaTheme="minorEastAsia"/>
                <w:color w:val="000000"/>
                <w:sz w:val="24"/>
                <w:szCs w:val="24"/>
              </w:rPr>
            </w:pPr>
          </w:p>
        </w:tc>
        <w:tc>
          <w:tcPr>
            <w:tcW w:w="571" w:type="pct"/>
            <w:tcBorders>
              <w:tl2br w:val="nil"/>
              <w:tr2bl w:val="nil"/>
            </w:tcBorders>
            <w:vAlign w:val="center"/>
          </w:tcPr>
          <w:p w14:paraId="076BDEBF">
            <w:pPr>
              <w:widowControl/>
              <w:jc w:val="center"/>
              <w:textAlignment w:val="center"/>
              <w:rPr>
                <w:rFonts w:ascii="Times New Roman" w:hAnsi="Times New Roman" w:cs="Times New Roman" w:eastAsiaTheme="minorEastAsia"/>
                <w:color w:val="000000"/>
                <w:sz w:val="24"/>
                <w:szCs w:val="24"/>
              </w:rPr>
            </w:pPr>
          </w:p>
        </w:tc>
        <w:tc>
          <w:tcPr>
            <w:tcW w:w="721" w:type="pct"/>
            <w:tcBorders>
              <w:tl2br w:val="nil"/>
              <w:tr2bl w:val="nil"/>
            </w:tcBorders>
            <w:vAlign w:val="center"/>
          </w:tcPr>
          <w:p w14:paraId="504CF411">
            <w:pPr>
              <w:widowControl/>
              <w:jc w:val="center"/>
              <w:textAlignment w:val="center"/>
              <w:rPr>
                <w:rFonts w:ascii="Times New Roman" w:hAnsi="Times New Roman" w:cs="Times New Roman" w:eastAsiaTheme="minorEastAsia"/>
                <w:color w:val="000000"/>
                <w:sz w:val="24"/>
                <w:szCs w:val="24"/>
              </w:rPr>
            </w:pPr>
          </w:p>
        </w:tc>
        <w:tc>
          <w:tcPr>
            <w:tcW w:w="693" w:type="pct"/>
            <w:tcBorders>
              <w:tl2br w:val="nil"/>
              <w:tr2bl w:val="nil"/>
            </w:tcBorders>
            <w:vAlign w:val="center"/>
          </w:tcPr>
          <w:p w14:paraId="333C103C">
            <w:pPr>
              <w:widowControl/>
              <w:jc w:val="center"/>
              <w:textAlignment w:val="center"/>
              <w:rPr>
                <w:rFonts w:ascii="Times New Roman" w:hAnsi="Times New Roman" w:cs="Times New Roman" w:eastAsiaTheme="minorEastAsia"/>
                <w:color w:val="000000"/>
                <w:sz w:val="24"/>
                <w:szCs w:val="24"/>
              </w:rPr>
            </w:pPr>
          </w:p>
        </w:tc>
        <w:tc>
          <w:tcPr>
            <w:tcW w:w="416" w:type="pct"/>
            <w:tcBorders>
              <w:tl2br w:val="nil"/>
              <w:tr2bl w:val="nil"/>
            </w:tcBorders>
            <w:vAlign w:val="center"/>
          </w:tcPr>
          <w:p w14:paraId="2247A265">
            <w:pPr>
              <w:jc w:val="center"/>
              <w:rPr>
                <w:rFonts w:ascii="Times New Roman" w:hAnsi="Times New Roman" w:cs="Times New Roman" w:eastAsiaTheme="minorEastAsia"/>
                <w:color w:val="000000"/>
                <w:sz w:val="24"/>
                <w:szCs w:val="24"/>
              </w:rPr>
            </w:pPr>
          </w:p>
        </w:tc>
      </w:tr>
      <w:tr w14:paraId="712DD2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56" w:type="pct"/>
            <w:tcBorders>
              <w:tl2br w:val="nil"/>
              <w:tr2bl w:val="nil"/>
            </w:tcBorders>
            <w:vAlign w:val="center"/>
          </w:tcPr>
          <w:p w14:paraId="45E46F43">
            <w:pPr>
              <w:widowControl/>
              <w:jc w:val="center"/>
              <w:textAlignment w:val="center"/>
              <w:rPr>
                <w:color w:val="000000"/>
                <w:sz w:val="24"/>
                <w:szCs w:val="24"/>
                <w:lang w:val="en-US" w:bidi="ar"/>
              </w:rPr>
            </w:pPr>
            <w:r>
              <w:rPr>
                <w:rFonts w:hint="eastAsia"/>
                <w:color w:val="000000"/>
                <w:sz w:val="24"/>
                <w:szCs w:val="24"/>
                <w:lang w:val="en-US" w:bidi="ar"/>
              </w:rPr>
              <w:t>…</w:t>
            </w:r>
          </w:p>
        </w:tc>
        <w:tc>
          <w:tcPr>
            <w:tcW w:w="1434" w:type="pct"/>
            <w:tcBorders>
              <w:tl2br w:val="nil"/>
              <w:tr2bl w:val="nil"/>
            </w:tcBorders>
            <w:vAlign w:val="center"/>
          </w:tcPr>
          <w:p w14:paraId="678D3AB3">
            <w:pPr>
              <w:widowControl/>
              <w:jc w:val="center"/>
              <w:textAlignment w:val="center"/>
              <w:rPr>
                <w:color w:val="000000"/>
                <w:sz w:val="24"/>
                <w:szCs w:val="24"/>
              </w:rPr>
            </w:pPr>
            <w:r>
              <w:rPr>
                <w:rFonts w:hint="eastAsia"/>
                <w:color w:val="000000"/>
                <w:sz w:val="24"/>
                <w:szCs w:val="24"/>
                <w:lang w:val="en-US" w:bidi="ar"/>
              </w:rPr>
              <w:t>…</w:t>
            </w:r>
          </w:p>
        </w:tc>
        <w:tc>
          <w:tcPr>
            <w:tcW w:w="705" w:type="pct"/>
            <w:tcBorders>
              <w:tl2br w:val="nil"/>
              <w:tr2bl w:val="nil"/>
            </w:tcBorders>
            <w:vAlign w:val="center"/>
          </w:tcPr>
          <w:p w14:paraId="3011CB4E">
            <w:pPr>
              <w:widowControl/>
              <w:jc w:val="center"/>
              <w:textAlignment w:val="center"/>
              <w:rPr>
                <w:color w:val="000000"/>
                <w:sz w:val="24"/>
                <w:szCs w:val="24"/>
              </w:rPr>
            </w:pPr>
            <w:r>
              <w:rPr>
                <w:rFonts w:hint="eastAsia"/>
                <w:color w:val="000000"/>
                <w:sz w:val="24"/>
                <w:szCs w:val="24"/>
                <w:lang w:val="en-US" w:bidi="ar"/>
              </w:rPr>
              <w:t>…</w:t>
            </w:r>
          </w:p>
        </w:tc>
        <w:tc>
          <w:tcPr>
            <w:tcW w:w="571" w:type="pct"/>
            <w:tcBorders>
              <w:tl2br w:val="nil"/>
              <w:tr2bl w:val="nil"/>
            </w:tcBorders>
            <w:vAlign w:val="center"/>
          </w:tcPr>
          <w:p w14:paraId="35B146DA">
            <w:pPr>
              <w:widowControl/>
              <w:jc w:val="center"/>
              <w:textAlignment w:val="center"/>
              <w:rPr>
                <w:color w:val="000000"/>
                <w:sz w:val="24"/>
                <w:szCs w:val="24"/>
              </w:rPr>
            </w:pPr>
            <w:r>
              <w:rPr>
                <w:rFonts w:hint="eastAsia"/>
                <w:color w:val="000000"/>
                <w:sz w:val="24"/>
                <w:szCs w:val="24"/>
                <w:lang w:val="en-US" w:bidi="ar"/>
              </w:rPr>
              <w:t>…</w:t>
            </w:r>
          </w:p>
        </w:tc>
        <w:tc>
          <w:tcPr>
            <w:tcW w:w="721" w:type="pct"/>
            <w:tcBorders>
              <w:tl2br w:val="nil"/>
              <w:tr2bl w:val="nil"/>
            </w:tcBorders>
            <w:vAlign w:val="center"/>
          </w:tcPr>
          <w:p w14:paraId="6CF7F907">
            <w:pPr>
              <w:widowControl/>
              <w:jc w:val="center"/>
              <w:textAlignment w:val="center"/>
              <w:rPr>
                <w:color w:val="000000"/>
                <w:sz w:val="24"/>
                <w:szCs w:val="24"/>
              </w:rPr>
            </w:pPr>
            <w:r>
              <w:rPr>
                <w:rFonts w:hint="eastAsia"/>
                <w:color w:val="000000"/>
                <w:sz w:val="24"/>
                <w:szCs w:val="24"/>
                <w:lang w:val="en-US" w:bidi="ar"/>
              </w:rPr>
              <w:t>…</w:t>
            </w:r>
          </w:p>
        </w:tc>
        <w:tc>
          <w:tcPr>
            <w:tcW w:w="693" w:type="pct"/>
            <w:tcBorders>
              <w:tl2br w:val="nil"/>
              <w:tr2bl w:val="nil"/>
            </w:tcBorders>
            <w:vAlign w:val="center"/>
          </w:tcPr>
          <w:p w14:paraId="00196799">
            <w:pPr>
              <w:widowControl/>
              <w:jc w:val="center"/>
              <w:textAlignment w:val="center"/>
              <w:rPr>
                <w:color w:val="000000"/>
                <w:sz w:val="24"/>
                <w:szCs w:val="24"/>
              </w:rPr>
            </w:pPr>
            <w:r>
              <w:rPr>
                <w:rFonts w:hint="eastAsia"/>
                <w:color w:val="000000"/>
                <w:sz w:val="24"/>
                <w:szCs w:val="24"/>
                <w:lang w:val="en-US" w:bidi="ar"/>
              </w:rPr>
              <w:t>…</w:t>
            </w:r>
          </w:p>
        </w:tc>
        <w:tc>
          <w:tcPr>
            <w:tcW w:w="416" w:type="pct"/>
            <w:tcBorders>
              <w:tl2br w:val="nil"/>
              <w:tr2bl w:val="nil"/>
            </w:tcBorders>
            <w:vAlign w:val="center"/>
          </w:tcPr>
          <w:p w14:paraId="69A81B57">
            <w:pPr>
              <w:widowControl/>
              <w:jc w:val="center"/>
              <w:textAlignment w:val="center"/>
              <w:rPr>
                <w:color w:val="000000"/>
                <w:sz w:val="24"/>
                <w:szCs w:val="24"/>
              </w:rPr>
            </w:pPr>
            <w:r>
              <w:rPr>
                <w:rFonts w:hint="eastAsia"/>
                <w:color w:val="000000"/>
                <w:sz w:val="24"/>
                <w:szCs w:val="24"/>
                <w:lang w:val="en-US" w:bidi="ar"/>
              </w:rPr>
              <w:t>…</w:t>
            </w:r>
          </w:p>
        </w:tc>
      </w:tr>
      <w:tr w14:paraId="1EFDF7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3168" w:type="pct"/>
            <w:gridSpan w:val="4"/>
            <w:tcBorders>
              <w:tl2br w:val="nil"/>
              <w:tr2bl w:val="nil"/>
            </w:tcBorders>
            <w:noWrap/>
            <w:vAlign w:val="center"/>
          </w:tcPr>
          <w:p w14:paraId="05FA86FD">
            <w:pPr>
              <w:widowControl/>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sz w:val="24"/>
                <w:szCs w:val="24"/>
                <w:lang w:val="en-US" w:bidi="ar"/>
              </w:rPr>
              <w:t>合计（元）</w:t>
            </w:r>
          </w:p>
        </w:tc>
        <w:tc>
          <w:tcPr>
            <w:tcW w:w="1831" w:type="pct"/>
            <w:gridSpan w:val="3"/>
            <w:tcBorders>
              <w:tl2br w:val="nil"/>
              <w:tr2bl w:val="nil"/>
            </w:tcBorders>
            <w:noWrap/>
            <w:vAlign w:val="center"/>
          </w:tcPr>
          <w:p w14:paraId="771941CB">
            <w:pPr>
              <w:widowControl/>
              <w:jc w:val="center"/>
              <w:textAlignment w:val="center"/>
              <w:rPr>
                <w:rFonts w:ascii="Times New Roman" w:hAnsi="Times New Roman" w:cs="Times New Roman" w:eastAsiaTheme="minorEastAsia"/>
                <w:color w:val="000000"/>
                <w:sz w:val="24"/>
                <w:szCs w:val="24"/>
                <w:lang w:val="en-US" w:bidi="ar"/>
              </w:rPr>
            </w:pPr>
          </w:p>
        </w:tc>
      </w:tr>
    </w:tbl>
    <w:p w14:paraId="1000E2C1">
      <w:pPr>
        <w:topLinePunct/>
        <w:autoSpaceDE/>
        <w:autoSpaceDN/>
        <w:spacing w:line="360" w:lineRule="auto"/>
        <w:ind w:firstLine="480" w:firstLineChars="200"/>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1</w:t>
      </w:r>
      <w:r>
        <w:rPr>
          <w:rFonts w:hint="eastAsia" w:ascii="Times New Roman" w:hAnsi="Times New Roman" w:cs="Times New Roman"/>
          <w:kern w:val="2"/>
          <w:sz w:val="24"/>
          <w:szCs w:val="24"/>
          <w:lang w:val="en-US" w:bidi="ar-SA"/>
        </w:rPr>
        <w:t>.合同价格</w:t>
      </w:r>
    </w:p>
    <w:p w14:paraId="0D07B253">
      <w:pPr>
        <w:autoSpaceDE/>
        <w:autoSpaceDN/>
        <w:adjustRightInd w:val="0"/>
        <w:snapToGrid w:val="0"/>
        <w:spacing w:line="360" w:lineRule="auto"/>
        <w:ind w:firstLine="480" w:firstLineChars="200"/>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本合同采用固定</w:t>
      </w:r>
      <w:r>
        <w:rPr>
          <w:rFonts w:hint="eastAsia" w:ascii="Times New Roman" w:hAnsi="Times New Roman" w:cs="Times New Roman"/>
          <w:kern w:val="2"/>
          <w:sz w:val="24"/>
          <w:szCs w:val="24"/>
          <w:lang w:val="en-US" w:bidi="ar-SA"/>
        </w:rPr>
        <w:t>单价</w:t>
      </w:r>
      <w:r>
        <w:rPr>
          <w:rFonts w:ascii="Times New Roman" w:hAnsi="Times New Roman" w:cs="Times New Roman"/>
          <w:kern w:val="2"/>
          <w:sz w:val="24"/>
          <w:szCs w:val="24"/>
          <w:lang w:val="en-US" w:bidi="ar-SA"/>
        </w:rPr>
        <w:t>的方式，</w:t>
      </w:r>
      <w:r>
        <w:rPr>
          <w:rFonts w:hint="eastAsia" w:ascii="Times New Roman" w:hAnsi="Times New Roman" w:cs="Times New Roman"/>
          <w:kern w:val="2"/>
          <w:sz w:val="24"/>
          <w:szCs w:val="24"/>
          <w:lang w:val="en-US" w:bidi="ar-SA"/>
        </w:rPr>
        <w:t>暂定合同总金额</w:t>
      </w:r>
      <w:r>
        <w:rPr>
          <w:rFonts w:ascii="Times New Roman" w:hAnsi="Times New Roman" w:cs="Times New Roman"/>
          <w:kern w:val="2"/>
          <w:sz w:val="24"/>
          <w:szCs w:val="24"/>
          <w:lang w:val="en-US" w:bidi="ar-SA"/>
        </w:rPr>
        <w:t>（含增值税）¥</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元（大写：人民币</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）。其中不含税价为¥</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元（大写：人民币</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），增值税税率为</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%，增值税为¥</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元（大写：人民币</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kern w:val="2"/>
          <w:sz w:val="24"/>
          <w:szCs w:val="24"/>
          <w:lang w:val="en-US" w:bidi="ar-SA"/>
        </w:rPr>
        <w:t>），最终金额</w:t>
      </w:r>
      <w:r>
        <w:rPr>
          <w:rFonts w:hint="eastAsia" w:ascii="Times New Roman" w:hAnsi="Times New Roman" w:cs="Times New Roman"/>
          <w:kern w:val="2"/>
          <w:sz w:val="24"/>
          <w:szCs w:val="24"/>
          <w:lang w:val="en-US" w:eastAsia="zh-CN" w:bidi="ar-SA"/>
        </w:rPr>
        <w:t>根据甲方需求据实</w:t>
      </w:r>
      <w:r>
        <w:rPr>
          <w:rFonts w:ascii="Times New Roman" w:hAnsi="Times New Roman" w:cs="Times New Roman"/>
          <w:kern w:val="2"/>
          <w:sz w:val="24"/>
          <w:szCs w:val="24"/>
          <w:lang w:val="en-US" w:bidi="ar-SA"/>
        </w:rPr>
        <w:t>结算</w:t>
      </w:r>
      <w:r>
        <w:rPr>
          <w:rFonts w:hint="eastAsia" w:ascii="Times New Roman" w:hAnsi="Times New Roman" w:cs="Times New Roman"/>
          <w:kern w:val="2"/>
          <w:sz w:val="24"/>
          <w:szCs w:val="24"/>
          <w:lang w:val="en-US" w:bidi="ar-SA"/>
        </w:rPr>
        <w:t>。</w:t>
      </w:r>
    </w:p>
    <w:p w14:paraId="7B50D412">
      <w:pPr>
        <w:autoSpaceDE/>
        <w:autoSpaceDN/>
        <w:adjustRightInd w:val="0"/>
        <w:snapToGrid w:val="0"/>
        <w:spacing w:line="360" w:lineRule="auto"/>
        <w:ind w:firstLine="480" w:firstLineChars="200"/>
        <w:rPr>
          <w:rFonts w:ascii="Times New Roman" w:hAnsi="Times New Roman" w:cs="Times New Roman"/>
          <w:b/>
          <w:bCs/>
          <w:kern w:val="2"/>
          <w:sz w:val="24"/>
          <w:szCs w:val="24"/>
          <w:lang w:val="en-US" w:bidi="ar-SA"/>
        </w:rPr>
      </w:pPr>
      <w:r>
        <w:rPr>
          <w:rFonts w:ascii="Times New Roman" w:hAnsi="Times New Roman" w:cs="Times New Roman"/>
          <w:kern w:val="2"/>
          <w:sz w:val="24"/>
          <w:szCs w:val="24"/>
          <w:lang w:val="en-US" w:bidi="ar-SA"/>
        </w:rPr>
        <w:t>2</w:t>
      </w:r>
      <w:r>
        <w:rPr>
          <w:rFonts w:hint="eastAsia" w:ascii="Times New Roman" w:hAnsi="Times New Roman" w:cs="Times New Roman"/>
          <w:kern w:val="2"/>
          <w:sz w:val="24"/>
          <w:szCs w:val="24"/>
          <w:lang w:val="en-US" w:bidi="ar-SA"/>
        </w:rPr>
        <w:t>.</w:t>
      </w:r>
      <w:r>
        <w:rPr>
          <w:rFonts w:ascii="Times New Roman" w:hAnsi="Times New Roman" w:cs="Times New Roman"/>
          <w:kern w:val="2"/>
          <w:sz w:val="24"/>
          <w:szCs w:val="24"/>
          <w:lang w:val="en-US" w:bidi="ar-SA"/>
        </w:rPr>
        <w:t>合同价款中包括但不限于货物款项、运输费用、包装费用、设备</w:t>
      </w:r>
      <w:r>
        <w:rPr>
          <w:rFonts w:hint="eastAsia" w:ascii="Times New Roman" w:hAnsi="Times New Roman" w:cs="Times New Roman"/>
          <w:kern w:val="2"/>
          <w:sz w:val="24"/>
          <w:szCs w:val="24"/>
          <w:lang w:val="en-US" w:bidi="ar-SA"/>
        </w:rPr>
        <w:t>检定/校准</w:t>
      </w:r>
      <w:r>
        <w:rPr>
          <w:rFonts w:ascii="Times New Roman" w:hAnsi="Times New Roman" w:cs="Times New Roman"/>
          <w:kern w:val="2"/>
          <w:sz w:val="24"/>
          <w:szCs w:val="24"/>
          <w:lang w:val="en-US" w:bidi="ar-SA"/>
        </w:rPr>
        <w:t>费用、售后服务费用、备品备件费用以及相关税费等。</w:t>
      </w:r>
    </w:p>
    <w:p w14:paraId="66E4A009">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第二条 </w:t>
      </w:r>
      <w:r>
        <w:rPr>
          <w:rFonts w:ascii="Times New Roman" w:hAnsi="Times New Roman" w:cs="Times New Roman"/>
          <w:b/>
          <w:bCs/>
          <w:kern w:val="2"/>
          <w:sz w:val="28"/>
          <w:szCs w:val="28"/>
          <w:lang w:val="en-US" w:bidi="ar-SA"/>
        </w:rPr>
        <w:t>设备质量要求及乙方对质量负责的条件和期限</w:t>
      </w:r>
    </w:p>
    <w:p w14:paraId="6BDC6FE1">
      <w:pPr>
        <w:tabs>
          <w:tab w:val="left" w:pos="7946"/>
        </w:tabs>
        <w:topLinePunct/>
        <w:autoSpaceDE/>
        <w:autoSpaceDN/>
        <w:spacing w:line="360" w:lineRule="auto"/>
        <w:ind w:firstLine="480" w:firstLineChars="200"/>
        <w:rPr>
          <w:rFonts w:hint="eastAsia" w:ascii="Times New Roman" w:hAnsi="Times New Roman" w:eastAsia="宋体" w:cs="Times New Roman"/>
          <w:sz w:val="24"/>
          <w:szCs w:val="24"/>
          <w:lang w:eastAsia="zh-CN"/>
        </w:rPr>
      </w:pPr>
      <w:r>
        <w:rPr>
          <w:rFonts w:ascii="Times New Roman" w:hAnsi="Times New Roman" w:cs="Times New Roman"/>
          <w:kern w:val="2"/>
          <w:sz w:val="24"/>
          <w:szCs w:val="24"/>
          <w:lang w:val="en-US" w:bidi="ar-SA"/>
        </w:rPr>
        <w:t>1.</w:t>
      </w:r>
      <w:r>
        <w:rPr>
          <w:rFonts w:ascii="Times New Roman" w:hAnsi="Times New Roman" w:cs="Times New Roman"/>
          <w:sz w:val="24"/>
          <w:szCs w:val="24"/>
        </w:rPr>
        <w:t>乙方提供的设备符合该产品的出厂标准。</w:t>
      </w:r>
      <w:r>
        <w:rPr>
          <w:rFonts w:hint="eastAsia" w:ascii="Times New Roman" w:hAnsi="Times New Roman" w:cs="Times New Roman"/>
          <w:sz w:val="24"/>
          <w:szCs w:val="24"/>
          <w:lang w:eastAsia="zh-CN"/>
        </w:rPr>
        <w:tab/>
      </w:r>
    </w:p>
    <w:p w14:paraId="02BCF930">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2.</w:t>
      </w:r>
      <w:r>
        <w:rPr>
          <w:rFonts w:ascii="Times New Roman" w:hAnsi="Times New Roman" w:cs="Times New Roman"/>
          <w:sz w:val="24"/>
          <w:szCs w:val="24"/>
        </w:rPr>
        <w:t>乙方提供的设备是全新的设备（含零部件、配件、随机工具等），表面无碰撞、无划伤。</w:t>
      </w:r>
    </w:p>
    <w:p w14:paraId="26B05006">
      <w:pPr>
        <w:topLinePunct/>
        <w:autoSpaceDE/>
        <w:autoSpaceDN/>
        <w:spacing w:line="360" w:lineRule="auto"/>
        <w:ind w:firstLine="480" w:firstLineChars="200"/>
        <w:rPr>
          <w:rFonts w:ascii="Times New Roman" w:hAnsi="Times New Roman" w:cs="Times New Roman"/>
          <w:sz w:val="28"/>
          <w:szCs w:val="28"/>
        </w:rPr>
      </w:pPr>
      <w:r>
        <w:rPr>
          <w:rFonts w:ascii="Times New Roman" w:hAnsi="Times New Roman" w:cs="Times New Roman"/>
          <w:kern w:val="2"/>
          <w:sz w:val="24"/>
          <w:szCs w:val="24"/>
          <w:lang w:val="en-US" w:bidi="ar-SA"/>
        </w:rPr>
        <w:t>3.</w:t>
      </w:r>
      <w:r>
        <w:rPr>
          <w:rFonts w:ascii="Times New Roman" w:hAnsi="Times New Roman" w:cs="Times New Roman"/>
          <w:sz w:val="24"/>
          <w:szCs w:val="24"/>
        </w:rPr>
        <w:t>乙方承诺提供设备</w:t>
      </w:r>
      <w:r>
        <w:rPr>
          <w:rFonts w:hint="eastAsia" w:ascii="Times New Roman" w:hAnsi="Times New Roman" w:cs="Times New Roman"/>
          <w:sz w:val="24"/>
          <w:szCs w:val="24"/>
          <w:lang w:val="en-US"/>
        </w:rPr>
        <w:t>两</w:t>
      </w:r>
      <w:r>
        <w:rPr>
          <w:rFonts w:ascii="Times New Roman" w:hAnsi="Times New Roman" w:cs="Times New Roman"/>
          <w:sz w:val="24"/>
          <w:szCs w:val="24"/>
        </w:rPr>
        <w:t>年免费维修服务，并提供终身维护（</w:t>
      </w:r>
      <w:r>
        <w:rPr>
          <w:rFonts w:hint="eastAsia" w:ascii="Times New Roman" w:hAnsi="Times New Roman" w:cs="Times New Roman"/>
          <w:sz w:val="24"/>
          <w:szCs w:val="24"/>
          <w:lang w:val="en-US"/>
        </w:rPr>
        <w:t>两</w:t>
      </w:r>
      <w:r>
        <w:rPr>
          <w:rFonts w:ascii="Times New Roman" w:hAnsi="Times New Roman" w:cs="Times New Roman"/>
          <w:sz w:val="24"/>
          <w:szCs w:val="24"/>
        </w:rPr>
        <w:t>年质保期后，为有偿服务）。</w:t>
      </w:r>
    </w:p>
    <w:p w14:paraId="54FAC8C1">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第三条</w:t>
      </w:r>
      <w:r>
        <w:rPr>
          <w:rFonts w:ascii="Times New Roman" w:hAnsi="Times New Roman" w:cs="Times New Roman"/>
          <w:b/>
          <w:bCs/>
          <w:kern w:val="2"/>
          <w:sz w:val="28"/>
          <w:szCs w:val="28"/>
          <w:lang w:val="en-US" w:bidi="ar-SA"/>
        </w:rPr>
        <w:t xml:space="preserve"> 交货</w:t>
      </w:r>
    </w:p>
    <w:p w14:paraId="33F46509">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w:t>
      </w:r>
      <w:r>
        <w:rPr>
          <w:rFonts w:ascii="Times New Roman" w:hAnsi="Times New Roman" w:cs="Times New Roman"/>
          <w:sz w:val="24"/>
          <w:szCs w:val="24"/>
        </w:rPr>
        <w:t>交货期限：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w:t>
      </w:r>
    </w:p>
    <w:p w14:paraId="01419974">
      <w:pPr>
        <w:topLinePunct/>
        <w:autoSpaceDE/>
        <w:autoSpaceDN/>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2.乙方将根据甲方需求，按批次为甲方提供所需仪器设备及耗材。</w:t>
      </w:r>
    </w:p>
    <w:p w14:paraId="41D4EAB4">
      <w:pPr>
        <w:topLinePunct/>
        <w:autoSpaceDE/>
        <w:autoSpaceDN/>
        <w:spacing w:line="360" w:lineRule="auto"/>
        <w:ind w:firstLine="480" w:firstLineChars="200"/>
        <w:rPr>
          <w:rFonts w:ascii="Times New Roman" w:hAnsi="Times New Roman" w:cs="Times New Roman"/>
          <w:color w:val="0000FF"/>
          <w:sz w:val="24"/>
          <w:szCs w:val="24"/>
        </w:rPr>
      </w:pPr>
      <w:r>
        <w:rPr>
          <w:rFonts w:hint="eastAsia" w:ascii="Times New Roman" w:hAnsi="Times New Roman" w:cs="Times New Roman"/>
          <w:kern w:val="2"/>
          <w:sz w:val="24"/>
          <w:szCs w:val="24"/>
          <w:lang w:val="en-US" w:eastAsia="zh-CN" w:bidi="ar-SA"/>
        </w:rPr>
        <w:t>3</w:t>
      </w:r>
      <w:r>
        <w:rPr>
          <w:rFonts w:ascii="Times New Roman" w:hAnsi="Times New Roman" w:cs="Times New Roman"/>
          <w:kern w:val="2"/>
          <w:sz w:val="24"/>
          <w:szCs w:val="24"/>
          <w:lang w:val="en-US" w:bidi="ar-SA"/>
        </w:rPr>
        <w:t>.</w:t>
      </w:r>
      <w:r>
        <w:rPr>
          <w:rFonts w:ascii="Times New Roman" w:hAnsi="Times New Roman" w:cs="Times New Roman"/>
          <w:sz w:val="24"/>
          <w:szCs w:val="24"/>
        </w:rPr>
        <w:t>乙方将所供设备的资料，包括出厂合格证</w:t>
      </w:r>
      <w:r>
        <w:rPr>
          <w:rFonts w:hint="eastAsia" w:ascii="Times New Roman" w:hAnsi="Times New Roman" w:cs="Times New Roman"/>
          <w:sz w:val="24"/>
          <w:szCs w:val="24"/>
        </w:rPr>
        <w:t>、</w:t>
      </w:r>
      <w:r>
        <w:rPr>
          <w:rFonts w:ascii="Times New Roman" w:hAnsi="Times New Roman" w:cs="Times New Roman"/>
          <w:sz w:val="24"/>
          <w:szCs w:val="24"/>
        </w:rPr>
        <w:t>用户手册、保修手册等有关资料及配件、随机附带工具等与货物一起装箱，交给甲方。</w:t>
      </w:r>
    </w:p>
    <w:p w14:paraId="203CCC77">
      <w:pPr>
        <w:topLinePunct/>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eastAsia="zh-CN" w:bidi="ar-SA"/>
        </w:rPr>
        <w:t>4</w:t>
      </w:r>
      <w:r>
        <w:rPr>
          <w:rFonts w:ascii="Times New Roman" w:hAnsi="Times New Roman" w:cs="Times New Roman"/>
          <w:kern w:val="2"/>
          <w:sz w:val="24"/>
          <w:szCs w:val="24"/>
          <w:lang w:val="en-US" w:bidi="ar-SA"/>
        </w:rPr>
        <w:t>.</w:t>
      </w:r>
      <w:r>
        <w:rPr>
          <w:rFonts w:ascii="Times New Roman" w:hAnsi="Times New Roman" w:cs="Times New Roman"/>
          <w:sz w:val="24"/>
          <w:szCs w:val="24"/>
        </w:rPr>
        <w:t>合同价格为规定地点交货价（包括一切运杂费、培训费及税费），运输过程中如有损坏由乙方负责。</w:t>
      </w:r>
    </w:p>
    <w:p w14:paraId="577CB93C">
      <w:pPr>
        <w:topLinePunct/>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eastAsia="zh-CN" w:bidi="ar-SA"/>
        </w:rPr>
        <w:t>5.</w:t>
      </w:r>
      <w:r>
        <w:rPr>
          <w:rFonts w:ascii="Times New Roman" w:hAnsi="Times New Roman" w:cs="Times New Roman"/>
          <w:sz w:val="24"/>
          <w:szCs w:val="24"/>
        </w:rPr>
        <w:t>交货地点：</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w:t>
      </w:r>
    </w:p>
    <w:p w14:paraId="66DB21FD">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第四条 </w:t>
      </w:r>
      <w:r>
        <w:rPr>
          <w:rFonts w:ascii="Times New Roman" w:hAnsi="Times New Roman" w:cs="Times New Roman"/>
          <w:b/>
          <w:bCs/>
          <w:kern w:val="2"/>
          <w:sz w:val="28"/>
          <w:szCs w:val="28"/>
          <w:lang w:val="en-US" w:bidi="ar-SA"/>
        </w:rPr>
        <w:t>付款</w:t>
      </w:r>
    </w:p>
    <w:p w14:paraId="7FB3D606">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1.</w:t>
      </w:r>
      <w:r>
        <w:rPr>
          <w:rFonts w:hint="eastAsia" w:ascii="Times New Roman" w:hAnsi="Times New Roman" w:cs="Times New Roman"/>
          <w:kern w:val="2"/>
          <w:sz w:val="24"/>
          <w:szCs w:val="24"/>
          <w:lang w:val="en-US" w:eastAsia="zh-CN" w:bidi="ar-SA"/>
        </w:rPr>
        <w:t>每批次提供的仪器</w:t>
      </w:r>
      <w:r>
        <w:rPr>
          <w:rFonts w:hint="eastAsia" w:ascii="Times New Roman" w:hAnsi="Times New Roman" w:cs="Times New Roman"/>
          <w:kern w:val="2"/>
          <w:sz w:val="24"/>
          <w:szCs w:val="24"/>
          <w:lang w:val="en-US" w:bidi="ar-SA"/>
        </w:rPr>
        <w:t>设备</w:t>
      </w:r>
      <w:r>
        <w:rPr>
          <w:rFonts w:hint="eastAsia" w:ascii="Times New Roman" w:hAnsi="Times New Roman" w:cs="Times New Roman"/>
          <w:kern w:val="2"/>
          <w:sz w:val="24"/>
          <w:szCs w:val="24"/>
          <w:lang w:val="en-US" w:eastAsia="zh-CN" w:bidi="ar-SA"/>
        </w:rPr>
        <w:t>，</w:t>
      </w:r>
      <w:r>
        <w:rPr>
          <w:rFonts w:ascii="Times New Roman" w:hAnsi="Times New Roman" w:cs="Times New Roman"/>
          <w:kern w:val="2"/>
          <w:sz w:val="24"/>
          <w:szCs w:val="24"/>
          <w:lang w:val="en-US" w:bidi="ar-SA"/>
        </w:rPr>
        <w:t>经甲方验收合格后</w:t>
      </w:r>
      <w:r>
        <w:rPr>
          <w:rFonts w:hint="eastAsia" w:ascii="Times New Roman" w:hAnsi="Times New Roman" w:cs="Times New Roman"/>
          <w:kern w:val="2"/>
          <w:sz w:val="24"/>
          <w:szCs w:val="24"/>
          <w:lang w:val="en-US" w:bidi="ar-SA"/>
        </w:rPr>
        <w:t>（</w:t>
      </w:r>
      <w:r>
        <w:rPr>
          <w:rFonts w:hint="eastAsia" w:ascii="Times New Roman" w:hAnsi="Times New Roman" w:cs="Times New Roman"/>
          <w:kern w:val="2"/>
          <w:sz w:val="24"/>
          <w:szCs w:val="24"/>
          <w:lang w:val="en-US" w:eastAsia="zh-CN" w:bidi="ar-SA"/>
        </w:rPr>
        <w:t>所有设备需按照甲方要求送检第三方检校单位，并提供</w:t>
      </w:r>
      <w:r>
        <w:rPr>
          <w:rFonts w:ascii="Times New Roman" w:hAnsi="Times New Roman" w:cs="Times New Roman"/>
          <w:kern w:val="2"/>
          <w:sz w:val="24"/>
          <w:szCs w:val="24"/>
          <w:lang w:val="en-US" w:bidi="ar-SA"/>
        </w:rPr>
        <w:t>第三方检校合格</w:t>
      </w:r>
      <w:r>
        <w:rPr>
          <w:rFonts w:hint="eastAsia" w:ascii="Times New Roman" w:hAnsi="Times New Roman" w:cs="Times New Roman"/>
          <w:kern w:val="2"/>
          <w:sz w:val="24"/>
          <w:szCs w:val="24"/>
          <w:lang w:val="en-US" w:eastAsia="zh-CN" w:bidi="ar-SA"/>
        </w:rPr>
        <w:t>证书</w:t>
      </w:r>
      <w:r>
        <w:rPr>
          <w:rFonts w:hint="eastAsia" w:ascii="Times New Roman" w:hAnsi="Times New Roman" w:cs="Times New Roman"/>
          <w:kern w:val="2"/>
          <w:sz w:val="24"/>
          <w:szCs w:val="24"/>
          <w:lang w:val="en-US" w:bidi="ar-SA"/>
        </w:rPr>
        <w:t>）</w:t>
      </w:r>
      <w:r>
        <w:rPr>
          <w:rFonts w:hint="eastAsia" w:ascii="Times New Roman" w:hAnsi="Times New Roman" w:cs="Times New Roman"/>
          <w:kern w:val="2"/>
          <w:sz w:val="24"/>
          <w:szCs w:val="24"/>
          <w:lang w:val="en-US" w:eastAsia="zh-CN" w:bidi="ar-SA"/>
        </w:rPr>
        <w:t>，</w:t>
      </w:r>
      <w:r>
        <w:rPr>
          <w:rFonts w:hint="eastAsia" w:ascii="Times New Roman" w:hAnsi="Times New Roman" w:cs="Times New Roman"/>
          <w:kern w:val="2"/>
          <w:sz w:val="24"/>
          <w:szCs w:val="24"/>
          <w:lang w:val="en-US" w:bidi="ar-SA"/>
        </w:rPr>
        <w:t>30个工作日内支付乙方</w:t>
      </w:r>
      <w:r>
        <w:rPr>
          <w:rFonts w:hint="eastAsia" w:ascii="Times New Roman" w:hAnsi="Times New Roman" w:cs="Times New Roman"/>
          <w:kern w:val="2"/>
          <w:sz w:val="24"/>
          <w:szCs w:val="24"/>
          <w:lang w:val="en-US" w:eastAsia="zh-CN" w:bidi="ar-SA"/>
        </w:rPr>
        <w:t>该批次结算费用</w:t>
      </w:r>
      <w:r>
        <w:rPr>
          <w:rFonts w:hint="eastAsia" w:ascii="Times New Roman" w:hAnsi="Times New Roman" w:cs="Times New Roman"/>
          <w:kern w:val="2"/>
          <w:sz w:val="24"/>
          <w:szCs w:val="24"/>
          <w:lang w:val="en-US" w:bidi="ar-SA"/>
        </w:rPr>
        <w:t>的50%，待验收合格满1年后支付</w:t>
      </w:r>
      <w:r>
        <w:rPr>
          <w:rFonts w:hint="eastAsia" w:ascii="Times New Roman" w:hAnsi="Times New Roman" w:cs="Times New Roman"/>
          <w:kern w:val="2"/>
          <w:sz w:val="24"/>
          <w:szCs w:val="24"/>
          <w:lang w:val="en-US" w:eastAsia="zh-CN" w:bidi="ar-SA"/>
        </w:rPr>
        <w:t>该批次结算费用</w:t>
      </w:r>
      <w:r>
        <w:rPr>
          <w:rFonts w:hint="eastAsia" w:ascii="Times New Roman" w:hAnsi="Times New Roman" w:cs="Times New Roman"/>
          <w:kern w:val="2"/>
          <w:sz w:val="24"/>
          <w:szCs w:val="24"/>
          <w:lang w:val="en-US" w:bidi="ar-SA"/>
        </w:rPr>
        <w:t>的30%，待质保期结束后支付剩余</w:t>
      </w:r>
      <w:r>
        <w:rPr>
          <w:rFonts w:hint="eastAsia" w:ascii="Times New Roman" w:hAnsi="Times New Roman" w:cs="Times New Roman"/>
          <w:kern w:val="2"/>
          <w:sz w:val="24"/>
          <w:szCs w:val="24"/>
          <w:lang w:val="en-US" w:eastAsia="zh-CN" w:bidi="ar-SA"/>
        </w:rPr>
        <w:t>该批次结算费用</w:t>
      </w:r>
      <w:r>
        <w:rPr>
          <w:rFonts w:hint="eastAsia" w:ascii="Times New Roman" w:hAnsi="Times New Roman" w:cs="Times New Roman"/>
          <w:kern w:val="2"/>
          <w:sz w:val="24"/>
          <w:szCs w:val="24"/>
          <w:lang w:val="en-US" w:bidi="ar-SA"/>
        </w:rPr>
        <w:t>20%。</w:t>
      </w:r>
    </w:p>
    <w:p w14:paraId="0641A76A">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2.每批次提供的</w:t>
      </w:r>
      <w:r>
        <w:rPr>
          <w:rFonts w:hint="eastAsia" w:ascii="Times New Roman" w:hAnsi="Times New Roman" w:cs="Times New Roman"/>
          <w:kern w:val="2"/>
          <w:sz w:val="24"/>
          <w:szCs w:val="24"/>
          <w:lang w:val="en-US" w:bidi="ar-SA"/>
        </w:rPr>
        <w:t>耗材</w:t>
      </w:r>
      <w:r>
        <w:rPr>
          <w:rFonts w:hint="eastAsia" w:ascii="Times New Roman" w:hAnsi="Times New Roman" w:cs="Times New Roman"/>
          <w:kern w:val="2"/>
          <w:sz w:val="24"/>
          <w:szCs w:val="24"/>
          <w:lang w:val="en-US" w:eastAsia="zh-CN" w:bidi="ar-SA"/>
        </w:rPr>
        <w:t>，</w:t>
      </w:r>
      <w:r>
        <w:rPr>
          <w:rFonts w:ascii="Times New Roman" w:hAnsi="Times New Roman" w:cs="Times New Roman"/>
          <w:kern w:val="2"/>
          <w:sz w:val="24"/>
          <w:szCs w:val="24"/>
          <w:lang w:val="en-US" w:bidi="ar-SA"/>
        </w:rPr>
        <w:t>经甲方</w:t>
      </w:r>
      <w:r>
        <w:rPr>
          <w:rFonts w:hint="eastAsia" w:ascii="Times New Roman" w:hAnsi="Times New Roman" w:cs="Times New Roman"/>
          <w:kern w:val="2"/>
          <w:sz w:val="24"/>
          <w:szCs w:val="24"/>
          <w:lang w:val="en-US" w:eastAsia="zh-CN" w:bidi="ar-SA"/>
        </w:rPr>
        <w:t>年度</w:t>
      </w:r>
      <w:r>
        <w:rPr>
          <w:rFonts w:ascii="Times New Roman" w:hAnsi="Times New Roman" w:cs="Times New Roman"/>
          <w:kern w:val="2"/>
          <w:sz w:val="24"/>
          <w:szCs w:val="24"/>
          <w:lang w:val="en-US" w:bidi="ar-SA"/>
        </w:rPr>
        <w:t>验收合格后</w:t>
      </w:r>
      <w:r>
        <w:rPr>
          <w:rFonts w:hint="eastAsia" w:ascii="Times New Roman" w:hAnsi="Times New Roman" w:cs="Times New Roman"/>
          <w:kern w:val="2"/>
          <w:sz w:val="24"/>
          <w:szCs w:val="24"/>
          <w:lang w:val="en-US" w:eastAsia="zh-CN" w:bidi="ar-SA"/>
        </w:rPr>
        <w:t>，</w:t>
      </w:r>
      <w:r>
        <w:rPr>
          <w:rFonts w:hint="eastAsia" w:ascii="Times New Roman" w:hAnsi="Times New Roman" w:cs="Times New Roman"/>
          <w:kern w:val="2"/>
          <w:sz w:val="24"/>
          <w:szCs w:val="24"/>
          <w:lang w:val="en-US" w:bidi="ar-SA"/>
        </w:rPr>
        <w:t>30个工作日内</w:t>
      </w:r>
      <w:r>
        <w:rPr>
          <w:rFonts w:hint="eastAsia" w:ascii="Times New Roman" w:hAnsi="Times New Roman" w:cs="Times New Roman"/>
          <w:kern w:val="2"/>
          <w:sz w:val="24"/>
          <w:szCs w:val="24"/>
          <w:lang w:val="en-US" w:eastAsia="zh-CN" w:bidi="ar-SA"/>
        </w:rPr>
        <w:t>一次性</w:t>
      </w:r>
      <w:r>
        <w:rPr>
          <w:rFonts w:hint="eastAsia" w:ascii="Times New Roman" w:hAnsi="Times New Roman" w:cs="Times New Roman"/>
          <w:kern w:val="2"/>
          <w:sz w:val="24"/>
          <w:szCs w:val="24"/>
          <w:lang w:val="en-US" w:bidi="ar-SA"/>
        </w:rPr>
        <w:t>支付乙方</w:t>
      </w:r>
      <w:r>
        <w:rPr>
          <w:rFonts w:hint="eastAsia" w:ascii="Times New Roman" w:hAnsi="Times New Roman" w:cs="Times New Roman"/>
          <w:kern w:val="2"/>
          <w:sz w:val="24"/>
          <w:szCs w:val="24"/>
          <w:lang w:val="en-US" w:eastAsia="zh-CN" w:bidi="ar-SA"/>
        </w:rPr>
        <w:t>年度结算费用</w:t>
      </w:r>
      <w:r>
        <w:rPr>
          <w:rFonts w:hint="eastAsia" w:ascii="Times New Roman" w:hAnsi="Times New Roman" w:cs="Times New Roman"/>
          <w:kern w:val="2"/>
          <w:sz w:val="24"/>
          <w:szCs w:val="24"/>
          <w:lang w:val="en-US" w:bidi="ar-SA"/>
        </w:rPr>
        <w:t>。</w:t>
      </w:r>
    </w:p>
    <w:p w14:paraId="3126B2B2">
      <w:pPr>
        <w:topLinePunct/>
        <w:autoSpaceDE/>
        <w:autoSpaceDN/>
        <w:spacing w:line="360" w:lineRule="auto"/>
        <w:ind w:firstLine="480" w:firstLineChars="20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3</w:t>
      </w:r>
      <w:r>
        <w:rPr>
          <w:rFonts w:hint="eastAsia" w:ascii="Times New Roman" w:hAnsi="Times New Roman" w:cs="Times New Roman"/>
          <w:kern w:val="2"/>
          <w:sz w:val="24"/>
          <w:szCs w:val="24"/>
          <w:lang w:val="en-US" w:bidi="ar-SA"/>
        </w:rPr>
        <w:t>.甲方付款前乙方应当提供与当期结算金额和服务内容一致的税率为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%的增值税专用发票。乙方未提供合法有效发票的，甲方有权延期付款，且不承担任何责任。</w:t>
      </w:r>
    </w:p>
    <w:p w14:paraId="4FB3B217">
      <w:pPr>
        <w:autoSpaceDE/>
        <w:autoSpaceDN/>
        <w:adjustRightInd w:val="0"/>
        <w:snapToGrid w:val="0"/>
        <w:spacing w:line="360" w:lineRule="auto"/>
        <w:ind w:firstLine="562" w:firstLineChars="200"/>
        <w:outlineLvl w:val="1"/>
        <w:rPr>
          <w:rFonts w:hint="default"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第五条 履约保证金</w:t>
      </w:r>
    </w:p>
    <w:p w14:paraId="4DCCD746">
      <w:pPr>
        <w:autoSpaceDE/>
        <w:autoSpaceDN/>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本采购项目乙方须向甲方提供暂定合同金额5%的履约保证金，即¥</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元（大写：人民币</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w:t>
      </w:r>
      <w:r>
        <w:rPr>
          <w:rFonts w:hint="eastAsia" w:ascii="Times New Roman" w:hAnsi="Times New Roman" w:cs="Times New Roman"/>
          <w:kern w:val="2"/>
          <w:sz w:val="24"/>
          <w:szCs w:val="24"/>
          <w:lang w:val="en-US" w:eastAsia="zh-CN" w:bidi="ar-SA"/>
        </w:rPr>
        <w:t>乙方提供的全部设备</w:t>
      </w:r>
      <w:r>
        <w:rPr>
          <w:rFonts w:hint="eastAsia" w:ascii="Times New Roman" w:hAnsi="Times New Roman" w:eastAsia="宋体" w:cs="Times New Roman"/>
          <w:kern w:val="2"/>
          <w:sz w:val="24"/>
          <w:szCs w:val="24"/>
          <w:lang w:val="en-US" w:eastAsia="zh-CN" w:bidi="ar-SA"/>
        </w:rPr>
        <w:t>质保期结束后，乙方需提交履约保证金退还的书面申请，甲方相关部门在审核通过后，将在14个工作日内无息退还给乙方。</w:t>
      </w:r>
    </w:p>
    <w:p w14:paraId="34A21CB9">
      <w:pPr>
        <w:autoSpaceDE/>
        <w:autoSpaceDN/>
        <w:adjustRightInd w:val="0"/>
        <w:snapToGrid w:val="0"/>
        <w:spacing w:line="360" w:lineRule="auto"/>
        <w:ind w:firstLine="562" w:firstLineChars="200"/>
        <w:outlineLvl w:val="1"/>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第六条 售后服务</w:t>
      </w:r>
    </w:p>
    <w:p w14:paraId="4A34B8AD">
      <w:pPr>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1.乙方</w:t>
      </w:r>
      <w:r>
        <w:rPr>
          <w:rFonts w:ascii="Times New Roman" w:hAnsi="Times New Roman" w:cs="Times New Roman"/>
          <w:sz w:val="24"/>
          <w:szCs w:val="24"/>
        </w:rPr>
        <w:t>对产品的质量负责</w:t>
      </w:r>
      <w:r>
        <w:rPr>
          <w:rFonts w:hint="eastAsia" w:ascii="Times New Roman" w:hAnsi="Times New Roman" w:cs="Times New Roman"/>
          <w:sz w:val="24"/>
          <w:szCs w:val="24"/>
        </w:rPr>
        <w:t>，</w:t>
      </w:r>
      <w:r>
        <w:rPr>
          <w:rFonts w:hint="eastAsia" w:ascii="Times New Roman" w:hAnsi="Times New Roman" w:cs="Times New Roman"/>
          <w:sz w:val="24"/>
          <w:szCs w:val="24"/>
          <w:lang w:val="en-US"/>
        </w:rPr>
        <w:t>并提供两年质保</w:t>
      </w:r>
      <w:r>
        <w:rPr>
          <w:rFonts w:ascii="Times New Roman" w:hAnsi="Times New Roman" w:cs="Times New Roman"/>
          <w:sz w:val="24"/>
          <w:szCs w:val="24"/>
        </w:rPr>
        <w:t>。</w:t>
      </w:r>
    </w:p>
    <w:p w14:paraId="639DAC06">
      <w:pPr>
        <w:autoSpaceDE/>
        <w:autoSpaceDN/>
        <w:spacing w:line="360" w:lineRule="auto"/>
        <w:ind w:firstLine="480" w:firstLineChars="200"/>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2.</w:t>
      </w:r>
      <w:r>
        <w:rPr>
          <w:rFonts w:hint="eastAsia" w:ascii="Times New Roman" w:hAnsi="Times New Roman" w:cs="Times New Roman"/>
          <w:kern w:val="2"/>
          <w:sz w:val="24"/>
          <w:szCs w:val="24"/>
          <w:lang w:val="en-US" w:bidi="ar-SA"/>
        </w:rPr>
        <w:t>质保期自</w:t>
      </w:r>
      <w:r>
        <w:rPr>
          <w:rFonts w:ascii="Times New Roman" w:hAnsi="Times New Roman" w:cs="Times New Roman"/>
          <w:kern w:val="2"/>
          <w:sz w:val="24"/>
          <w:szCs w:val="24"/>
          <w:lang w:val="en-US" w:bidi="ar-SA"/>
        </w:rPr>
        <w:t>甲方在收到产品，</w:t>
      </w:r>
      <w:r>
        <w:rPr>
          <w:rFonts w:hint="eastAsia" w:ascii="Times New Roman" w:hAnsi="Times New Roman" w:cs="Times New Roman"/>
          <w:kern w:val="2"/>
          <w:sz w:val="24"/>
          <w:szCs w:val="24"/>
          <w:lang w:val="en-US" w:bidi="ar-SA"/>
        </w:rPr>
        <w:t>并</w:t>
      </w:r>
      <w:r>
        <w:rPr>
          <w:rFonts w:ascii="Times New Roman" w:hAnsi="Times New Roman" w:cs="Times New Roman"/>
          <w:kern w:val="2"/>
          <w:sz w:val="24"/>
          <w:szCs w:val="24"/>
          <w:lang w:val="en-US" w:bidi="ar-SA"/>
        </w:rPr>
        <w:t>确认产品验收合格日起，具体时间以</w:t>
      </w:r>
      <w:r>
        <w:rPr>
          <w:rFonts w:hint="eastAsia" w:ascii="Times New Roman" w:hAnsi="Times New Roman" w:cs="Times New Roman"/>
          <w:kern w:val="2"/>
          <w:sz w:val="24"/>
          <w:szCs w:val="24"/>
          <w:lang w:val="en-US" w:bidi="ar-SA"/>
        </w:rPr>
        <w:t>检定/校准报告时间为准。</w:t>
      </w:r>
    </w:p>
    <w:p w14:paraId="32DD4097">
      <w:pPr>
        <w:autoSpaceDE/>
        <w:autoSpaceDN/>
        <w:spacing w:line="360" w:lineRule="auto"/>
        <w:ind w:firstLine="480" w:firstLineChars="20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3.在质保期内，凡正常使用出现故障，乙方需提供免费维修，并负担维修过程中的费用。如质保期内非人为因素，仪器设备维修1年达2次及以上，供应商应免费更换同品牌同型号的仪器。</w:t>
      </w:r>
    </w:p>
    <w:p w14:paraId="6D03B599">
      <w:pPr>
        <w:autoSpaceDE/>
        <w:autoSpaceDN/>
        <w:spacing w:line="360" w:lineRule="auto"/>
        <w:ind w:firstLine="480" w:firstLineChars="20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4.质保期内以及设备检定/校准周期内，设备稳定性差或期间核查中出现2次及以上超出规定精度要求或影响检测结果准确性的，供应商应免费更换同品牌同型号的仪器。</w:t>
      </w:r>
    </w:p>
    <w:p w14:paraId="425A9921">
      <w:pPr>
        <w:autoSpaceDE/>
        <w:autoSpaceDN/>
        <w:spacing w:line="360" w:lineRule="auto"/>
        <w:ind w:firstLine="480" w:firstLineChars="20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5.设备故障报修的响应时间为24个小时。如果设备故障在检修24个小时后仍无法排除，乙方应将其送修，送修时间如超过7天且甲方急需使用时，乙方应免费提供不低于故障设备档次的备用设备供甲方使用，直到故障设备修复。</w:t>
      </w:r>
    </w:p>
    <w:p w14:paraId="28B16C38">
      <w:pPr>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bidi="ar-SA"/>
        </w:rPr>
        <w:t>6</w:t>
      </w:r>
      <w:r>
        <w:rPr>
          <w:rFonts w:ascii="Times New Roman" w:hAnsi="Times New Roman" w:cs="Times New Roman"/>
          <w:kern w:val="2"/>
          <w:sz w:val="24"/>
          <w:szCs w:val="24"/>
          <w:lang w:val="en-US" w:bidi="ar-SA"/>
        </w:rPr>
        <w:t>.</w:t>
      </w:r>
      <w:r>
        <w:rPr>
          <w:rFonts w:ascii="Times New Roman" w:hAnsi="Times New Roman" w:cs="Times New Roman"/>
          <w:sz w:val="24"/>
          <w:szCs w:val="24"/>
        </w:rPr>
        <w:t>在无偿修理期内，出现以下情况为有偿修理：</w:t>
      </w:r>
    </w:p>
    <w:p w14:paraId="39916308">
      <w:pPr>
        <w:tabs>
          <w:tab w:val="left" w:pos="1050"/>
        </w:tabs>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bidi="ar-SA"/>
        </w:rPr>
        <w:t>（</w:t>
      </w:r>
      <w:r>
        <w:rPr>
          <w:rFonts w:ascii="Times New Roman" w:hAnsi="Times New Roman" w:cs="Times New Roman"/>
          <w:kern w:val="2"/>
          <w:sz w:val="24"/>
          <w:szCs w:val="24"/>
          <w:lang w:val="en-US" w:bidi="ar-SA"/>
        </w:rPr>
        <w:t>1</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由于甲方使用上的错误及不当修理。</w:t>
      </w:r>
    </w:p>
    <w:p w14:paraId="1990F6B6">
      <w:pPr>
        <w:tabs>
          <w:tab w:val="left" w:pos="1050"/>
        </w:tabs>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bidi="ar-SA"/>
        </w:rPr>
        <w:t>（</w:t>
      </w:r>
      <w:r>
        <w:rPr>
          <w:rFonts w:ascii="Times New Roman" w:hAnsi="Times New Roman" w:cs="Times New Roman"/>
          <w:kern w:val="2"/>
          <w:sz w:val="24"/>
          <w:szCs w:val="24"/>
          <w:lang w:val="en-US" w:bidi="ar-SA"/>
        </w:rPr>
        <w:t>2</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甲方违反说明书上记载的使用方法和注意事项、使用环境，在安装或者保管时造成的故障及损伤。</w:t>
      </w:r>
    </w:p>
    <w:p w14:paraId="69555E8F">
      <w:pPr>
        <w:tabs>
          <w:tab w:val="left" w:pos="1050"/>
        </w:tabs>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bidi="ar-SA"/>
        </w:rPr>
        <w:t>（</w:t>
      </w:r>
      <w:r>
        <w:rPr>
          <w:rFonts w:ascii="Times New Roman" w:hAnsi="Times New Roman" w:cs="Times New Roman"/>
          <w:kern w:val="2"/>
          <w:sz w:val="24"/>
          <w:szCs w:val="24"/>
          <w:lang w:val="en-US" w:bidi="ar-SA"/>
        </w:rPr>
        <w:t>3</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甲方在确认产品验收合格后</w:t>
      </w:r>
      <w:r>
        <w:rPr>
          <w:rFonts w:hint="eastAsia" w:ascii="Times New Roman" w:hAnsi="Times New Roman" w:cs="Times New Roman"/>
          <w:sz w:val="24"/>
          <w:szCs w:val="24"/>
        </w:rPr>
        <w:t>，</w:t>
      </w:r>
      <w:r>
        <w:rPr>
          <w:rFonts w:ascii="Times New Roman" w:hAnsi="Times New Roman" w:cs="Times New Roman"/>
          <w:sz w:val="24"/>
          <w:szCs w:val="24"/>
        </w:rPr>
        <w:t>由于火灾</w:t>
      </w:r>
      <w:r>
        <w:rPr>
          <w:rFonts w:hint="eastAsia" w:ascii="Times New Roman" w:hAnsi="Times New Roman" w:cs="Times New Roman"/>
          <w:sz w:val="24"/>
          <w:szCs w:val="24"/>
        </w:rPr>
        <w:t>、</w:t>
      </w:r>
      <w:r>
        <w:rPr>
          <w:rFonts w:ascii="Times New Roman" w:hAnsi="Times New Roman" w:cs="Times New Roman"/>
          <w:sz w:val="24"/>
          <w:szCs w:val="24"/>
        </w:rPr>
        <w:t>地震</w:t>
      </w:r>
      <w:r>
        <w:rPr>
          <w:rFonts w:hint="eastAsia" w:ascii="Times New Roman" w:hAnsi="Times New Roman" w:cs="Times New Roman"/>
          <w:sz w:val="24"/>
          <w:szCs w:val="24"/>
        </w:rPr>
        <w:t>、</w:t>
      </w:r>
      <w:r>
        <w:rPr>
          <w:rFonts w:ascii="Times New Roman" w:hAnsi="Times New Roman" w:cs="Times New Roman"/>
          <w:sz w:val="24"/>
          <w:szCs w:val="24"/>
        </w:rPr>
        <w:t>水灾</w:t>
      </w:r>
      <w:r>
        <w:rPr>
          <w:rFonts w:hint="eastAsia" w:ascii="Times New Roman" w:hAnsi="Times New Roman" w:cs="Times New Roman"/>
          <w:sz w:val="24"/>
          <w:szCs w:val="24"/>
        </w:rPr>
        <w:t>、</w:t>
      </w:r>
      <w:r>
        <w:rPr>
          <w:rFonts w:ascii="Times New Roman" w:hAnsi="Times New Roman" w:cs="Times New Roman"/>
          <w:sz w:val="24"/>
          <w:szCs w:val="24"/>
        </w:rPr>
        <w:t>落雷以及其他的自然灾害，公害和异常电压造成的故障及损伤。</w:t>
      </w:r>
    </w:p>
    <w:p w14:paraId="0B1987DE">
      <w:pPr>
        <w:tabs>
          <w:tab w:val="left" w:pos="1050"/>
        </w:tabs>
        <w:autoSpaceDE/>
        <w:autoSpaceDN/>
        <w:spacing w:line="360" w:lineRule="auto"/>
        <w:ind w:firstLine="480" w:firstLineChars="200"/>
        <w:rPr>
          <w:rFonts w:ascii="Times New Roman" w:hAnsi="Times New Roman" w:cs="Times New Roman"/>
          <w:sz w:val="28"/>
          <w:szCs w:val="28"/>
        </w:rPr>
      </w:pPr>
      <w:r>
        <w:rPr>
          <w:rFonts w:hint="eastAsia" w:ascii="Times New Roman" w:hAnsi="Times New Roman" w:cs="Times New Roman"/>
          <w:kern w:val="2"/>
          <w:sz w:val="24"/>
          <w:szCs w:val="24"/>
          <w:lang w:val="en-US" w:bidi="ar-SA"/>
        </w:rPr>
        <w:t>（</w:t>
      </w:r>
      <w:r>
        <w:rPr>
          <w:rFonts w:ascii="Times New Roman" w:hAnsi="Times New Roman" w:cs="Times New Roman"/>
          <w:kern w:val="2"/>
          <w:sz w:val="24"/>
          <w:szCs w:val="24"/>
          <w:lang w:val="en-US" w:bidi="ar-SA"/>
        </w:rPr>
        <w:t>4</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购买后，由于甲方在运输、移动时的跌落以及其它处理不当的原因产生的故障及损伤。</w:t>
      </w:r>
    </w:p>
    <w:p w14:paraId="6D7E030C">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七</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违约责任</w:t>
      </w:r>
    </w:p>
    <w:p w14:paraId="1647D46E">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w:t>
      </w:r>
      <w:r>
        <w:rPr>
          <w:rFonts w:ascii="Times New Roman" w:hAnsi="Times New Roman" w:cs="Times New Roman"/>
          <w:sz w:val="24"/>
          <w:szCs w:val="24"/>
        </w:rPr>
        <w:t>甲乙双方均应全面履行本合同约定，一方违约给另一方造成损失的，应当承担赔偿责任。</w:t>
      </w:r>
    </w:p>
    <w:p w14:paraId="711866EE">
      <w:pPr>
        <w:topLinePunct/>
        <w:autoSpaceDE/>
        <w:autoSpaceDN/>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rPr>
        <w:t>乙方如不能按期交付符合本协议约定的设备，除甲方原因之外，每延期一日按合同总价款1%向甲方支付违约金，逾期交货达15日以上</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含本数</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，甲方有权解除合同，并要求乙方支付</w:t>
      </w:r>
      <w:r>
        <w:rPr>
          <w:rFonts w:hint="eastAsia" w:ascii="Times New Roman" w:hAnsi="Times New Roman" w:cs="Times New Roman"/>
          <w:color w:val="auto"/>
          <w:sz w:val="24"/>
          <w:szCs w:val="24"/>
          <w:lang w:val="en-US" w:eastAsia="zh-CN"/>
        </w:rPr>
        <w:t>暂定</w:t>
      </w:r>
      <w:r>
        <w:rPr>
          <w:rFonts w:hint="eastAsia" w:ascii="Times New Roman" w:hAnsi="Times New Roman" w:cs="Times New Roman"/>
          <w:color w:val="auto"/>
          <w:sz w:val="24"/>
          <w:szCs w:val="24"/>
        </w:rPr>
        <w:t>合同金额</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rPr>
        <w:t>0%的违约金，且赔偿甲方的全部损失</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指直接和间接损失</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包括但不限于甲方向第三方购买相同产品支付的差价、甲方实现权利而产生的全部费用等</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w:t>
      </w:r>
    </w:p>
    <w:p w14:paraId="4334B0BF">
      <w:pPr>
        <w:topLinePunct/>
        <w:autoSpaceDE/>
        <w:autoSpaceDN/>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3.乙方未按本合同约定提供售后服务，甲方有权自行维修或委托他人进行维修，由此产生的一切费用由乙方负担，甲方可从履约保证金或剩余应付款中扣除，不足以扣除的，甲方有权继续向乙方追偿。</w:t>
      </w:r>
    </w:p>
    <w:p w14:paraId="7C2ADAE4">
      <w:pPr>
        <w:topLinePunct/>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eastAsia="zh-CN" w:bidi="ar-SA"/>
        </w:rPr>
        <w:t>4</w:t>
      </w:r>
      <w:r>
        <w:rPr>
          <w:rFonts w:ascii="Times New Roman" w:hAnsi="Times New Roman" w:cs="Times New Roman"/>
          <w:kern w:val="2"/>
          <w:sz w:val="24"/>
          <w:szCs w:val="24"/>
          <w:lang w:val="en-US" w:bidi="ar-SA"/>
        </w:rPr>
        <w:t>.</w:t>
      </w:r>
      <w:r>
        <w:rPr>
          <w:rFonts w:ascii="Times New Roman" w:hAnsi="Times New Roman" w:cs="Times New Roman"/>
          <w:sz w:val="24"/>
          <w:szCs w:val="24"/>
        </w:rPr>
        <w:t>甲方未按照合同约定的期限结算的，应按照中国人民银行有关延期付款的规定，延迟一日，需支付结算货款的万分之五的违约金；延迟10日以上的，除支付违约金外，甲方应当承担赔偿责任。</w:t>
      </w:r>
    </w:p>
    <w:p w14:paraId="131C4E59">
      <w:pPr>
        <w:topLinePunct/>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eastAsia="zh-CN" w:bidi="ar-SA"/>
        </w:rPr>
        <w:t>5</w:t>
      </w:r>
      <w:r>
        <w:rPr>
          <w:rFonts w:ascii="Times New Roman" w:hAnsi="Times New Roman" w:cs="Times New Roman"/>
          <w:kern w:val="2"/>
          <w:sz w:val="24"/>
          <w:szCs w:val="24"/>
          <w:lang w:val="en-US" w:bidi="ar-SA"/>
        </w:rPr>
        <w:t>.</w:t>
      </w:r>
      <w:r>
        <w:rPr>
          <w:rFonts w:ascii="Times New Roman" w:hAnsi="Times New Roman" w:cs="Times New Roman"/>
          <w:sz w:val="24"/>
          <w:szCs w:val="24"/>
        </w:rPr>
        <w:t>甲方不得无故拒绝接货，否则应当承担由此造成的损失和运输费用。</w:t>
      </w:r>
    </w:p>
    <w:p w14:paraId="3FF66700">
      <w:pPr>
        <w:topLinePunct/>
        <w:autoSpaceDE/>
        <w:autoSpaceDN/>
        <w:spacing w:line="360" w:lineRule="auto"/>
        <w:ind w:firstLine="480" w:firstLineChars="20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6</w:t>
      </w:r>
      <w:r>
        <w:rPr>
          <w:rFonts w:ascii="Times New Roman" w:hAnsi="Times New Roman" w:cs="Times New Roman"/>
          <w:kern w:val="2"/>
          <w:sz w:val="24"/>
          <w:szCs w:val="24"/>
          <w:lang w:val="en-US" w:bidi="ar-SA"/>
        </w:rPr>
        <w:t>.合同生效后，乙方需全面遵守合同中规定的各项义务。若乙方未能履行或未能完全履行合同义务，乙方应承担相应的违约责任。</w:t>
      </w:r>
      <w:r>
        <w:rPr>
          <w:rFonts w:hint="eastAsia" w:ascii="Times New Roman" w:hAnsi="Times New Roman" w:cs="Times New Roman"/>
          <w:kern w:val="2"/>
          <w:sz w:val="24"/>
          <w:szCs w:val="24"/>
          <w:lang w:val="en-US" w:bidi="ar-SA"/>
        </w:rPr>
        <w:t>且</w:t>
      </w:r>
      <w:r>
        <w:rPr>
          <w:rFonts w:ascii="Times New Roman" w:hAnsi="Times New Roman" w:cs="Times New Roman"/>
          <w:kern w:val="2"/>
          <w:sz w:val="24"/>
          <w:szCs w:val="24"/>
          <w:lang w:val="en-US" w:bidi="ar-SA"/>
        </w:rPr>
        <w:t>甲方有权停止支付乙方剩余</w:t>
      </w:r>
      <w:r>
        <w:rPr>
          <w:rFonts w:hint="eastAsia" w:ascii="Times New Roman" w:hAnsi="Times New Roman" w:cs="Times New Roman"/>
          <w:kern w:val="2"/>
          <w:sz w:val="24"/>
          <w:szCs w:val="24"/>
          <w:lang w:val="en-US" w:bidi="ar-SA"/>
        </w:rPr>
        <w:t>合同款项的</w:t>
      </w:r>
      <w:r>
        <w:rPr>
          <w:rFonts w:ascii="Times New Roman" w:hAnsi="Times New Roman" w:cs="Times New Roman"/>
          <w:kern w:val="2"/>
          <w:sz w:val="24"/>
          <w:szCs w:val="24"/>
          <w:lang w:val="en-US" w:bidi="ar-SA"/>
        </w:rPr>
        <w:t>20%，并可要求乙方赔偿由此产生的损失，包括但不限于甲方为维护债权所支付的律师费、保全费、诉讼费、公证费、鉴定费、差旅费等合理费用。</w:t>
      </w:r>
    </w:p>
    <w:p w14:paraId="1241922A">
      <w:pPr>
        <w:topLinePunct/>
        <w:autoSpaceDE/>
        <w:autoSpaceDN/>
        <w:spacing w:line="360" w:lineRule="auto"/>
        <w:ind w:firstLine="482" w:firstLineChars="200"/>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kern w:val="2"/>
          <w:sz w:val="24"/>
          <w:szCs w:val="24"/>
          <w:lang w:val="en-US" w:eastAsia="zh-CN" w:bidi="ar-SA"/>
        </w:rPr>
        <w:t>7.</w:t>
      </w:r>
      <w:r>
        <w:rPr>
          <w:rFonts w:hint="eastAsia" w:ascii="Times New Roman" w:hAnsi="Times New Roman" w:eastAsia="宋体" w:cs="Times New Roman"/>
          <w:b/>
          <w:bCs/>
          <w:color w:val="auto"/>
          <w:sz w:val="24"/>
          <w:szCs w:val="24"/>
          <w:highlight w:val="none"/>
          <w:lang w:val="en-US" w:eastAsia="zh-CN"/>
        </w:rPr>
        <w:t>乙方</w:t>
      </w:r>
      <w:r>
        <w:rPr>
          <w:rFonts w:hint="eastAsia" w:ascii="Times New Roman" w:hAnsi="Times New Roman" w:cs="Times New Roman"/>
          <w:b/>
          <w:bCs/>
          <w:color w:val="auto"/>
          <w:sz w:val="24"/>
          <w:szCs w:val="24"/>
          <w:highlight w:val="none"/>
          <w:lang w:val="en-US" w:eastAsia="zh-CN"/>
        </w:rPr>
        <w:t>出现</w:t>
      </w:r>
      <w:r>
        <w:rPr>
          <w:rFonts w:hint="eastAsia" w:ascii="Times New Roman" w:hAnsi="Times New Roman" w:eastAsia="宋体" w:cs="Times New Roman"/>
          <w:b/>
          <w:bCs/>
          <w:color w:val="auto"/>
          <w:sz w:val="24"/>
          <w:szCs w:val="24"/>
          <w:highlight w:val="none"/>
          <w:lang w:val="en-US" w:eastAsia="zh-CN"/>
        </w:rPr>
        <w:t>提供翻新设备</w:t>
      </w:r>
      <w:r>
        <w:rPr>
          <w:rFonts w:hint="eastAsia" w:ascii="Times New Roman" w:hAnsi="Times New Roman" w:cs="Times New Roman"/>
          <w:b/>
          <w:bCs/>
          <w:color w:val="auto"/>
          <w:sz w:val="24"/>
          <w:szCs w:val="24"/>
          <w:highlight w:val="none"/>
          <w:lang w:val="en-US" w:eastAsia="zh-CN"/>
        </w:rPr>
        <w:t>或</w:t>
      </w:r>
      <w:r>
        <w:rPr>
          <w:rFonts w:hint="eastAsia" w:ascii="Times New Roman" w:hAnsi="Times New Roman" w:eastAsia="宋体" w:cs="Times New Roman"/>
          <w:b/>
          <w:bCs/>
          <w:color w:val="auto"/>
          <w:sz w:val="24"/>
          <w:szCs w:val="24"/>
          <w:highlight w:val="none"/>
          <w:lang w:val="en-US" w:eastAsia="zh-CN"/>
        </w:rPr>
        <w:t>以次充好的情况，一经甲方发现，甲方有权解除合同，并要求乙方支付暂定合同金额20%的违约金，且赔偿甲方的全部损失（指直接和间接损失，包括但不限于甲方向第三方购买相同产品支付的差价、甲方实现权利而产生的全部费用等）</w:t>
      </w:r>
      <w:r>
        <w:rPr>
          <w:rFonts w:hint="eastAsia" w:ascii="Times New Roman" w:hAnsi="Times New Roman" w:cs="Times New Roman"/>
          <w:b/>
          <w:bCs/>
          <w:color w:val="auto"/>
          <w:sz w:val="24"/>
          <w:szCs w:val="24"/>
          <w:highlight w:val="none"/>
          <w:lang w:val="en-US" w:eastAsia="zh-CN"/>
        </w:rPr>
        <w:t>。</w:t>
      </w:r>
    </w:p>
    <w:p w14:paraId="64557601">
      <w:pPr>
        <w:topLinePunct/>
        <w:autoSpaceDE/>
        <w:autoSpaceDN/>
        <w:spacing w:line="360" w:lineRule="auto"/>
        <w:ind w:firstLine="482" w:firstLineChars="200"/>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8.乙方需向甲方缴纳的违约金及赔偿费用，甲方有权从乙方已缴纳的履约保证金以及甲方应支付给乙方的货款中予以扣除；若扣除后仍有超出部分，乙方须另行支付给甲方。</w:t>
      </w:r>
    </w:p>
    <w:p w14:paraId="6ADA4D74">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八</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商业文件信函和诉讼文书的送达地址的约定。</w:t>
      </w:r>
    </w:p>
    <w:p w14:paraId="53DA4EE7">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w:t>
      </w:r>
      <w:r>
        <w:rPr>
          <w:rFonts w:ascii="Times New Roman" w:hAnsi="Times New Roman" w:cs="Times New Roman"/>
          <w:sz w:val="24"/>
          <w:szCs w:val="24"/>
        </w:rPr>
        <w:t>通讯地址和联系方式</w:t>
      </w:r>
    </w:p>
    <w:p w14:paraId="7911E62E">
      <w:pPr>
        <w:topLinePunct/>
        <w:autoSpaceDE/>
        <w:autoSpaceDN/>
        <w:spacing w:line="360" w:lineRule="auto"/>
        <w:ind w:firstLine="480" w:firstLineChars="200"/>
        <w:rPr>
          <w:rFonts w:ascii="Times New Roman" w:hAnsi="Times New Roman" w:cs="Times New Roman"/>
          <w:sz w:val="24"/>
          <w:szCs w:val="24"/>
          <w:u w:val="single"/>
          <w:lang w:val="en-US"/>
        </w:rPr>
      </w:pPr>
      <w:r>
        <w:rPr>
          <w:rFonts w:ascii="Times New Roman" w:hAnsi="Times New Roman" w:cs="Times New Roman"/>
          <w:sz w:val="24"/>
          <w:szCs w:val="24"/>
          <w:lang w:val="en-US"/>
        </w:rPr>
        <w:t>甲方</w:t>
      </w:r>
      <w:r>
        <w:rPr>
          <w:rFonts w:hint="eastAsia" w:ascii="Times New Roman" w:hAnsi="Times New Roman" w:cs="Times New Roman"/>
          <w:sz w:val="24"/>
          <w:szCs w:val="24"/>
          <w:lang w:val="en-US"/>
        </w:rPr>
        <w:t>：</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通讯地址：</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3EB872FD">
      <w:pPr>
        <w:topLinePunct/>
        <w:autoSpaceDE/>
        <w:autoSpaceDN/>
        <w:spacing w:line="360" w:lineRule="auto"/>
        <w:ind w:firstLine="480" w:firstLineChars="200"/>
        <w:rPr>
          <w:rFonts w:ascii="Times New Roman" w:hAnsi="Times New Roman" w:cs="Times New Roman"/>
          <w:sz w:val="24"/>
          <w:szCs w:val="24"/>
          <w:u w:val="single"/>
          <w:lang w:val="en-US"/>
        </w:rPr>
      </w:pPr>
      <w:r>
        <w:rPr>
          <w:rFonts w:hint="eastAsia" w:ascii="Times New Roman" w:hAnsi="Times New Roman" w:cs="Times New Roman"/>
          <w:sz w:val="24"/>
          <w:szCs w:val="24"/>
          <w:lang w:val="en-US"/>
        </w:rPr>
        <w:t>联系人：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hint="eastAsia" w:ascii="Times New Roman" w:hAnsi="Times New Roman" w:cs="Times New Roman"/>
          <w:sz w:val="24"/>
          <w:szCs w:val="24"/>
          <w:lang w:val="en-US"/>
        </w:rPr>
        <w:t>联系电话：</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45202C8D">
      <w:pPr>
        <w:topLinePunct/>
        <w:autoSpaceDE/>
        <w:autoSpaceDN/>
        <w:spacing w:line="360" w:lineRule="auto"/>
        <w:ind w:firstLine="480" w:firstLineChars="200"/>
        <w:rPr>
          <w:rFonts w:ascii="Times New Roman" w:hAnsi="Times New Roman" w:cs="Times New Roman"/>
          <w:sz w:val="24"/>
          <w:szCs w:val="24"/>
          <w:u w:val="single"/>
          <w:lang w:val="en-US"/>
        </w:rPr>
      </w:pPr>
      <w:r>
        <w:rPr>
          <w:rFonts w:ascii="Times New Roman" w:hAnsi="Times New Roman" w:cs="Times New Roman"/>
          <w:sz w:val="24"/>
          <w:szCs w:val="24"/>
          <w:lang w:val="en-US"/>
        </w:rPr>
        <w:t>乙方</w:t>
      </w:r>
      <w:r>
        <w:rPr>
          <w:rFonts w:hint="eastAsia" w:ascii="Times New Roman" w:hAnsi="Times New Roman" w:cs="Times New Roman"/>
          <w:sz w:val="24"/>
          <w:szCs w:val="24"/>
          <w:lang w:val="en-US"/>
        </w:rPr>
        <w:t>：</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通讯地址：</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7E59F27D">
      <w:pPr>
        <w:topLinePunct/>
        <w:autoSpaceDE/>
        <w:autoSpaceDN/>
        <w:spacing w:line="360" w:lineRule="auto"/>
        <w:ind w:firstLine="480" w:firstLineChars="200"/>
        <w:rPr>
          <w:rFonts w:ascii="Times New Roman" w:hAnsi="Times New Roman" w:cs="Times New Roman"/>
          <w:sz w:val="24"/>
          <w:szCs w:val="24"/>
          <w:u w:val="single"/>
          <w:lang w:val="en-US"/>
        </w:rPr>
      </w:pPr>
      <w:r>
        <w:rPr>
          <w:rFonts w:hint="eastAsia" w:ascii="Times New Roman" w:hAnsi="Times New Roman" w:cs="Times New Roman"/>
          <w:sz w:val="24"/>
          <w:szCs w:val="24"/>
          <w:lang w:val="en-US"/>
        </w:rPr>
        <w:t>联系人：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hint="eastAsia" w:ascii="Times New Roman" w:hAnsi="Times New Roman" w:cs="Times New Roman"/>
          <w:sz w:val="24"/>
          <w:szCs w:val="24"/>
          <w:lang w:val="en-US"/>
        </w:rPr>
        <w:t>联系电话：</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5BB89A5F">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2.</w:t>
      </w:r>
      <w:r>
        <w:rPr>
          <w:rFonts w:ascii="Times New Roman" w:hAnsi="Times New Roman" w:cs="Times New Roman"/>
          <w:sz w:val="24"/>
          <w:szCs w:val="24"/>
        </w:rPr>
        <w:t>合同各方一致确认</w:t>
      </w:r>
      <w:r>
        <w:rPr>
          <w:rFonts w:ascii="Times New Roman" w:hAnsi="Times New Roman" w:cs="Times New Roman"/>
          <w:sz w:val="24"/>
          <w:szCs w:val="24"/>
          <w:lang w:val="en-US"/>
        </w:rPr>
        <w:t>上述的</w:t>
      </w:r>
      <w:r>
        <w:rPr>
          <w:rFonts w:ascii="Times New Roman" w:hAnsi="Times New Roman" w:cs="Times New Roman"/>
          <w:sz w:val="24"/>
          <w:szCs w:val="24"/>
        </w:rPr>
        <w:t>通讯地址和联系方式（或本合同中记载的各方通讯地址和联系方式）为各方履行合同、解决合同争议时向接收其他方商业文件信函或司法机关（法院、仲裁机构）诉讼、仲裁文书的地址和联系方式。</w:t>
      </w:r>
    </w:p>
    <w:p w14:paraId="54071D2E">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3.</w:t>
      </w:r>
      <w:r>
        <w:rPr>
          <w:rFonts w:ascii="Times New Roman" w:hAnsi="Times New Roman" w:cs="Times New Roman"/>
          <w:sz w:val="24"/>
          <w:szCs w:val="24"/>
        </w:rPr>
        <w:t>通讯地址和联系方式适用期间。上述通讯地址和联系方式适用至本合同履行完毕或争议经过一审、二审至案件执行终结时止，除非各方依下款告知变更。</w:t>
      </w:r>
    </w:p>
    <w:p w14:paraId="2FF7526A">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4.</w:t>
      </w:r>
      <w:r>
        <w:rPr>
          <w:rFonts w:ascii="Times New Roman" w:hAnsi="Times New Roman" w:cs="Times New Roman"/>
          <w:sz w:val="24"/>
          <w:szCs w:val="24"/>
        </w:rPr>
        <w:t>通讯地址和联系方式的变更。任何一方通讯地址和联系方式需要变更的，应提前五个工作日向合同其他方和司法机关送交书面变更告知书（若争议已经进入司法程序解决）。</w:t>
      </w:r>
    </w:p>
    <w:p w14:paraId="3E218B25">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5.</w:t>
      </w:r>
      <w:r>
        <w:rPr>
          <w:rFonts w:ascii="Times New Roman" w:hAnsi="Times New Roman" w:cs="Times New Roman"/>
          <w:sz w:val="24"/>
          <w:szCs w:val="24"/>
        </w:rPr>
        <w:t>合同</w:t>
      </w:r>
      <w:r>
        <w:rPr>
          <w:rFonts w:hint="eastAsia" w:ascii="Times New Roman" w:hAnsi="Times New Roman" w:cs="Times New Roman"/>
          <w:sz w:val="24"/>
          <w:szCs w:val="24"/>
          <w:lang w:val="en-US"/>
        </w:rPr>
        <w:t>双方</w:t>
      </w:r>
      <w:r>
        <w:rPr>
          <w:rFonts w:ascii="Times New Roman" w:hAnsi="Times New Roman" w:cs="Times New Roman"/>
          <w:sz w:val="24"/>
          <w:szCs w:val="24"/>
        </w:rPr>
        <w:t>均承诺：上述确认的通讯地址和联系方式真实有效，如有错误，导致的商业信函和诉讼文书</w:t>
      </w:r>
      <w:r>
        <w:rPr>
          <w:rFonts w:hint="eastAsia" w:ascii="Times New Roman" w:hAnsi="Times New Roman" w:cs="Times New Roman"/>
          <w:sz w:val="24"/>
          <w:szCs w:val="24"/>
          <w:lang w:val="en-US"/>
        </w:rPr>
        <w:t>无法</w:t>
      </w:r>
      <w:r>
        <w:rPr>
          <w:rFonts w:ascii="Times New Roman" w:hAnsi="Times New Roman" w:cs="Times New Roman"/>
          <w:sz w:val="24"/>
          <w:szCs w:val="24"/>
        </w:rPr>
        <w:t>送达的法律后果由</w:t>
      </w:r>
      <w:r>
        <w:rPr>
          <w:rFonts w:hint="eastAsia" w:ascii="Times New Roman" w:hAnsi="Times New Roman" w:cs="Times New Roman"/>
          <w:sz w:val="24"/>
          <w:szCs w:val="24"/>
          <w:lang w:val="en-US"/>
        </w:rPr>
        <w:t>各自</w:t>
      </w:r>
      <w:r>
        <w:rPr>
          <w:rFonts w:ascii="Times New Roman" w:hAnsi="Times New Roman" w:cs="Times New Roman"/>
          <w:sz w:val="24"/>
          <w:szCs w:val="24"/>
        </w:rPr>
        <w:t>承担。</w:t>
      </w:r>
    </w:p>
    <w:p w14:paraId="27E3CDBB">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6.</w:t>
      </w:r>
      <w:r>
        <w:rPr>
          <w:rFonts w:ascii="Times New Roman" w:hAnsi="Times New Roman" w:cs="Times New Roman"/>
          <w:sz w:val="24"/>
          <w:szCs w:val="24"/>
        </w:rPr>
        <w:t>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695836C1">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九</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合同争议的解决方式</w:t>
      </w:r>
    </w:p>
    <w:p w14:paraId="78397050">
      <w:pPr>
        <w:pStyle w:val="15"/>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由本合同所引起的争议，甲乙双方应本着友好原则，协商解决，协商不成，因合同纠纷提起的诉讼,由原告所在地人民法院管辖。</w:t>
      </w:r>
    </w:p>
    <w:p w14:paraId="4E96A3F9">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十</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其他约定条款</w:t>
      </w:r>
    </w:p>
    <w:p w14:paraId="041D6B7E">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1.如</w:t>
      </w:r>
      <w:r>
        <w:rPr>
          <w:rFonts w:ascii="Times New Roman" w:hAnsi="Times New Roman" w:cs="Times New Roman"/>
          <w:sz w:val="24"/>
          <w:szCs w:val="24"/>
        </w:rPr>
        <w:t>因人力不可抗拒的因素而导致延期交货或无法交货时，乙方不负任何责任。</w:t>
      </w:r>
    </w:p>
    <w:p w14:paraId="77B160B1">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2.</w:t>
      </w:r>
      <w:r>
        <w:rPr>
          <w:rFonts w:ascii="Times New Roman" w:hAnsi="Times New Roman" w:cs="Times New Roman"/>
          <w:sz w:val="24"/>
          <w:szCs w:val="24"/>
        </w:rPr>
        <w:t>本合同一式</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sz w:val="24"/>
          <w:szCs w:val="24"/>
        </w:rPr>
        <w:t>份，甲方</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sz w:val="24"/>
          <w:szCs w:val="24"/>
        </w:rPr>
        <w:t>份，乙方</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sz w:val="24"/>
          <w:szCs w:val="24"/>
        </w:rPr>
        <w:t>份，由双方签字盖章生效。</w:t>
      </w:r>
    </w:p>
    <w:p w14:paraId="6AD74EAC">
      <w:pPr>
        <w:topLinePunct/>
        <w:autoSpaceDE/>
        <w:autoSpaceDN/>
        <w:spacing w:line="360" w:lineRule="auto"/>
        <w:ind w:firstLine="480" w:firstLineChars="200"/>
        <w:rPr>
          <w:rFonts w:ascii="Times New Roman" w:hAnsi="Times New Roman" w:cs="Times New Roman"/>
          <w:kern w:val="2"/>
          <w:sz w:val="28"/>
          <w:szCs w:val="28"/>
          <w:lang w:val="en-US" w:bidi="ar-SA"/>
        </w:rPr>
      </w:pPr>
      <w:r>
        <w:rPr>
          <w:rFonts w:ascii="Times New Roman" w:hAnsi="Times New Roman" w:cs="Times New Roman"/>
          <w:kern w:val="2"/>
          <w:sz w:val="24"/>
          <w:szCs w:val="24"/>
          <w:lang w:val="en-US" w:bidi="ar-SA"/>
        </w:rPr>
        <w:t>3.</w:t>
      </w:r>
      <w:r>
        <w:rPr>
          <w:rFonts w:ascii="Times New Roman" w:hAnsi="Times New Roman" w:cs="Times New Roman"/>
          <w:sz w:val="24"/>
          <w:szCs w:val="24"/>
        </w:rPr>
        <w:t>合同的传真件和扫描件具有同等法律效力。</w:t>
      </w:r>
    </w:p>
    <w:p w14:paraId="3878202C">
      <w:pPr>
        <w:topLinePunct/>
        <w:autoSpaceDE/>
        <w:autoSpaceDN/>
        <w:spacing w:line="360" w:lineRule="auto"/>
        <w:ind w:firstLine="560" w:firstLineChars="200"/>
        <w:rPr>
          <w:rFonts w:hint="eastAsia" w:ascii="Times New Roman" w:hAnsi="Times New Roman" w:cs="Times New Roman"/>
          <w:kern w:val="2"/>
          <w:sz w:val="28"/>
          <w:szCs w:val="28"/>
          <w:lang w:val="en-US" w:bidi="ar-SA"/>
        </w:rPr>
      </w:pPr>
    </w:p>
    <w:p w14:paraId="436B9BE0">
      <w:pPr>
        <w:topLinePunct/>
        <w:autoSpaceDE/>
        <w:autoSpaceDN/>
        <w:spacing w:line="360" w:lineRule="auto"/>
        <w:ind w:firstLine="480" w:firstLineChars="200"/>
        <w:rPr>
          <w:rFonts w:hint="default" w:ascii="Times New Roman" w:hAnsi="Times New Roman" w:cs="Times New Roman"/>
          <w:sz w:val="24"/>
          <w:szCs w:val="24"/>
          <w:lang w:val="en-US"/>
        </w:rPr>
      </w:pPr>
      <w:r>
        <w:rPr>
          <w:rFonts w:hint="eastAsia" w:ascii="Times New Roman" w:hAnsi="Times New Roman" w:cs="Times New Roman"/>
          <w:kern w:val="2"/>
          <w:sz w:val="24"/>
          <w:szCs w:val="24"/>
          <w:lang w:val="en-US" w:bidi="ar-SA"/>
        </w:rPr>
        <w:t>附件：</w:t>
      </w:r>
      <w:r>
        <w:rPr>
          <w:rFonts w:hint="default" w:ascii="Times New Roman" w:hAnsi="Times New Roman" w:cs="Times New Roman"/>
          <w:sz w:val="24"/>
          <w:szCs w:val="24"/>
          <w:lang w:val="en-US"/>
        </w:rPr>
        <w:t>1.委托人设备技术参数要求</w:t>
      </w:r>
    </w:p>
    <w:p w14:paraId="1247AD68">
      <w:pPr>
        <w:numPr>
          <w:ilvl w:val="0"/>
          <w:numId w:val="0"/>
        </w:numPr>
        <w:topLinePunct/>
        <w:autoSpaceDE/>
        <w:autoSpaceDN/>
        <w:spacing w:line="360" w:lineRule="auto"/>
        <w:ind w:firstLine="1200" w:firstLineChars="500"/>
        <w:rPr>
          <w:rFonts w:hint="default" w:ascii="Times New Roman" w:hAnsi="Times New Roman" w:cs="Times New Roman"/>
          <w:sz w:val="24"/>
          <w:szCs w:val="24"/>
          <w:lang w:val="en-US"/>
        </w:rPr>
      </w:pPr>
      <w:r>
        <w:rPr>
          <w:rFonts w:hint="default" w:ascii="Times New Roman" w:hAnsi="Times New Roman" w:eastAsia="宋体" w:cs="Times New Roman"/>
          <w:sz w:val="24"/>
          <w:szCs w:val="24"/>
          <w:lang w:val="en-US" w:eastAsia="zh-CN" w:bidi="zh-CN"/>
        </w:rPr>
        <w:t>2.</w:t>
      </w:r>
      <w:r>
        <w:rPr>
          <w:rFonts w:hint="default" w:ascii="Times New Roman" w:hAnsi="Times New Roman" w:cs="Times New Roman"/>
          <w:sz w:val="24"/>
          <w:szCs w:val="24"/>
          <w:lang w:val="en-US"/>
        </w:rPr>
        <w:t>中标通知书</w:t>
      </w:r>
    </w:p>
    <w:p w14:paraId="2DC2405D">
      <w:pPr>
        <w:numPr>
          <w:ilvl w:val="0"/>
          <w:numId w:val="0"/>
        </w:numPr>
        <w:topLinePunct/>
        <w:autoSpaceDE/>
        <w:autoSpaceDN/>
        <w:spacing w:line="360" w:lineRule="auto"/>
        <w:ind w:firstLine="1200" w:firstLineChars="5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3.中标人</w:t>
      </w:r>
      <w:r>
        <w:rPr>
          <w:rFonts w:hint="default" w:ascii="Times New Roman" w:hAnsi="Times New Roman" w:eastAsia="宋体" w:cs="Times New Roman"/>
          <w:sz w:val="24"/>
          <w:szCs w:val="24"/>
          <w:lang w:val="en-US" w:eastAsia="zh-CN" w:bidi="zh-CN"/>
        </w:rPr>
        <w:t>报价</w:t>
      </w:r>
      <w:r>
        <w:rPr>
          <w:rFonts w:hint="default" w:ascii="Times New Roman" w:hAnsi="Times New Roman" w:cs="Times New Roman"/>
          <w:sz w:val="24"/>
          <w:szCs w:val="24"/>
          <w:lang w:val="en-US" w:eastAsia="zh-CN"/>
        </w:rPr>
        <w:t>函</w:t>
      </w:r>
    </w:p>
    <w:p w14:paraId="2E489620">
      <w:pPr>
        <w:topLinePunct/>
        <w:spacing w:line="360" w:lineRule="auto"/>
        <w:ind w:firstLine="560" w:firstLineChars="200"/>
        <w:rPr>
          <w:rFonts w:ascii="Times New Roman" w:hAnsi="Times New Roman" w:cs="Times New Roman"/>
          <w:kern w:val="2"/>
          <w:sz w:val="28"/>
          <w:szCs w:val="28"/>
          <w:lang w:val="en-US" w:bidi="ar-SA"/>
        </w:rPr>
      </w:pPr>
    </w:p>
    <w:p w14:paraId="7DA0A1C0">
      <w:pPr>
        <w:topLinePunct/>
        <w:spacing w:line="360" w:lineRule="auto"/>
        <w:ind w:firstLine="480" w:firstLineChars="200"/>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（以下无正文）</w:t>
      </w:r>
    </w:p>
    <w:tbl>
      <w:tblPr>
        <w:tblStyle w:val="24"/>
        <w:tblW w:w="8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3980"/>
      </w:tblGrid>
      <w:tr w14:paraId="469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tcPr>
          <w:p w14:paraId="166A4401">
            <w:pPr>
              <w:spacing w:line="360" w:lineRule="auto"/>
              <w:jc w:val="both"/>
              <w:rPr>
                <w:rFonts w:hint="default" w:ascii="Times New Roman" w:hAnsi="Times New Roman" w:cs="Times New Roman"/>
                <w:sz w:val="24"/>
                <w:szCs w:val="24"/>
                <w:u w:val="single"/>
              </w:rPr>
            </w:pPr>
            <w:r>
              <w:rPr>
                <w:rFonts w:hint="default" w:ascii="Times New Roman" w:hAnsi="Times New Roman" w:cs="Times New Roman"/>
                <w:sz w:val="24"/>
                <w:szCs w:val="24"/>
              </w:rPr>
              <w:br w:type="page"/>
            </w:r>
            <w:r>
              <w:rPr>
                <w:rFonts w:hint="default" w:ascii="Times New Roman" w:hAnsi="Times New Roman" w:cs="Times New Roman"/>
                <w:sz w:val="24"/>
                <w:szCs w:val="24"/>
              </w:rPr>
              <w:t>甲方：</w:t>
            </w:r>
            <w:r>
              <w:rPr>
                <w:rFonts w:hint="default" w:ascii="Times New Roman" w:hAnsi="Times New Roman" w:cs="Times New Roman"/>
                <w:sz w:val="24"/>
                <w:szCs w:val="24"/>
                <w:u w:val="single"/>
              </w:rPr>
              <w:t>四川济通工程试验检测有限公司</w:t>
            </w:r>
          </w:p>
          <w:p w14:paraId="05BF9A95">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（盖章）</w:t>
            </w:r>
          </w:p>
        </w:tc>
        <w:tc>
          <w:tcPr>
            <w:tcW w:w="3980" w:type="dxa"/>
            <w:tcBorders>
              <w:tl2br w:val="nil"/>
              <w:tr2bl w:val="nil"/>
            </w:tcBorders>
          </w:tcPr>
          <w:p w14:paraId="2299ECCB">
            <w:pPr>
              <w:spacing w:line="360" w:lineRule="auto"/>
              <w:ind w:left="840" w:hanging="720" w:hangingChars="300"/>
              <w:jc w:val="left"/>
              <w:rPr>
                <w:rFonts w:hint="default" w:ascii="Times New Roman" w:hAnsi="Times New Roman" w:cs="Times New Roman"/>
                <w:kern w:val="2"/>
                <w:sz w:val="24"/>
                <w:szCs w:val="24"/>
                <w:lang w:val="en-US"/>
              </w:rPr>
            </w:pPr>
            <w:r>
              <w:rPr>
                <w:rFonts w:hint="default" w:ascii="Times New Roman" w:hAnsi="Times New Roman" w:cs="Times New Roman"/>
                <w:sz w:val="24"/>
                <w:szCs w:val="24"/>
              </w:rPr>
              <w:t>乙方：</w:t>
            </w:r>
          </w:p>
          <w:p w14:paraId="061DF719">
            <w:pPr>
              <w:spacing w:line="360" w:lineRule="auto"/>
              <w:ind w:left="840" w:hanging="720" w:hangingChars="300"/>
              <w:jc w:val="right"/>
              <w:rPr>
                <w:rFonts w:hint="default" w:ascii="Times New Roman" w:hAnsi="Times New Roman" w:cs="Times New Roman"/>
                <w:sz w:val="24"/>
                <w:szCs w:val="24"/>
              </w:rPr>
            </w:pPr>
            <w:r>
              <w:rPr>
                <w:rFonts w:hint="default" w:ascii="Times New Roman" w:hAnsi="Times New Roman" w:cs="Times New Roman"/>
                <w:sz w:val="24"/>
                <w:szCs w:val="24"/>
              </w:rPr>
              <w:t>（盖章）</w:t>
            </w:r>
          </w:p>
        </w:tc>
      </w:tr>
      <w:tr w14:paraId="31A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18F7A0F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法定代表人</w:t>
            </w:r>
          </w:p>
          <w:p w14:paraId="6EE6972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或委托代理人：              （签字）</w:t>
            </w:r>
          </w:p>
        </w:tc>
        <w:tc>
          <w:tcPr>
            <w:tcW w:w="3980" w:type="dxa"/>
            <w:tcBorders>
              <w:tl2br w:val="nil"/>
              <w:tr2bl w:val="nil"/>
            </w:tcBorders>
            <w:vAlign w:val="center"/>
          </w:tcPr>
          <w:p w14:paraId="1F412C8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法定代表人</w:t>
            </w:r>
          </w:p>
          <w:p w14:paraId="2254FE0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或委托代理人：         （签字）</w:t>
            </w:r>
          </w:p>
        </w:tc>
      </w:tr>
      <w:tr w14:paraId="0E1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4F97715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经办人：</w:t>
            </w:r>
          </w:p>
        </w:tc>
        <w:tc>
          <w:tcPr>
            <w:tcW w:w="3980" w:type="dxa"/>
            <w:tcBorders>
              <w:tl2br w:val="nil"/>
              <w:tr2bl w:val="nil"/>
            </w:tcBorders>
            <w:vAlign w:val="center"/>
          </w:tcPr>
          <w:p w14:paraId="7FE4F84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经办人：</w:t>
            </w:r>
          </w:p>
        </w:tc>
      </w:tr>
      <w:tr w14:paraId="4EE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5DD4E97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开户银行：中国建设银行股份有限公司成都第二支行</w:t>
            </w:r>
          </w:p>
        </w:tc>
        <w:tc>
          <w:tcPr>
            <w:tcW w:w="3980" w:type="dxa"/>
            <w:tcBorders>
              <w:tl2br w:val="nil"/>
              <w:tr2bl w:val="nil"/>
            </w:tcBorders>
            <w:vAlign w:val="center"/>
          </w:tcPr>
          <w:p w14:paraId="4C0DF7A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开户银行：</w:t>
            </w:r>
          </w:p>
        </w:tc>
      </w:tr>
      <w:tr w14:paraId="54D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513BD05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开户账号：51001426208051518277</w:t>
            </w:r>
          </w:p>
        </w:tc>
        <w:tc>
          <w:tcPr>
            <w:tcW w:w="3980" w:type="dxa"/>
            <w:tcBorders>
              <w:tl2br w:val="nil"/>
              <w:tr2bl w:val="nil"/>
            </w:tcBorders>
            <w:vAlign w:val="center"/>
          </w:tcPr>
          <w:p w14:paraId="7EB3DA9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开户账号：</w:t>
            </w:r>
          </w:p>
        </w:tc>
      </w:tr>
      <w:tr w14:paraId="0E32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25B08A9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地址：成都蛟龙工业港双流园区威海路7座150号</w:t>
            </w:r>
          </w:p>
        </w:tc>
        <w:tc>
          <w:tcPr>
            <w:tcW w:w="3980" w:type="dxa"/>
            <w:tcBorders>
              <w:tl2br w:val="nil"/>
              <w:tr2bl w:val="nil"/>
            </w:tcBorders>
            <w:vAlign w:val="center"/>
          </w:tcPr>
          <w:p w14:paraId="00C12EE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地址：</w:t>
            </w:r>
          </w:p>
        </w:tc>
      </w:tr>
      <w:tr w14:paraId="56F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306204D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时间：    年  月  日</w:t>
            </w:r>
          </w:p>
        </w:tc>
        <w:tc>
          <w:tcPr>
            <w:tcW w:w="3980" w:type="dxa"/>
            <w:tcBorders>
              <w:tl2br w:val="nil"/>
              <w:tr2bl w:val="nil"/>
            </w:tcBorders>
            <w:vAlign w:val="center"/>
          </w:tcPr>
          <w:p w14:paraId="3B5F6D8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时间：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年  月  日</w:t>
            </w:r>
          </w:p>
        </w:tc>
      </w:tr>
      <w:bookmarkEnd w:id="0"/>
      <w:bookmarkEnd w:id="1"/>
      <w:bookmarkEnd w:id="2"/>
      <w:bookmarkEnd w:id="3"/>
      <w:bookmarkEnd w:id="4"/>
      <w:bookmarkEnd w:id="5"/>
    </w:tbl>
    <w:p w14:paraId="74B7289A">
      <w:pPr>
        <w:rPr>
          <w:rFonts w:hint="default" w:ascii="Times New Roman" w:hAnsi="Times New Roman" w:cs="Times New Roman"/>
        </w:rPr>
      </w:pPr>
    </w:p>
    <w:sectPr>
      <w:headerReference r:id="rId5" w:type="default"/>
      <w:footerReference r:id="rId6"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65A037-6128-4D47-971A-EACD01BECF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94C7ECDD-468A-498E-AFF2-C211B8D918A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678C626-186C-4238-A278-0FACBB3B7E5F}"/>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embedRegular r:id="rId4" w:fontKey="{69EA3D0A-4133-47A7-81AA-FE01B50C614E}"/>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474D">
    <w:pPr>
      <w:pStyle w:val="11"/>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B9D7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AB9D7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1"/>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11D7">
    <w:pPr>
      <w:pStyle w:val="18"/>
      <w:pBdr>
        <w:bottom w:val="none" w:color="auto" w:sz="0" w:space="1"/>
      </w:pBdr>
      <w:tabs>
        <w:tab w:val="left" w:pos="345"/>
        <w:tab w:val="right" w:pos="9219"/>
      </w:tabs>
      <w:spacing w:line="240" w:lineRule="auto"/>
      <w:jc w:val="center"/>
      <w:rPr>
        <w:rFonts w:hint="default" w:ascii="宋体" w:hAnsi="宋体" w:eastAsia="宋体" w:cs="宋体"/>
        <w:b/>
        <w:bCs w:val="0"/>
        <w:color w:val="auto"/>
        <w:sz w:val="20"/>
        <w:szCs w:val="20"/>
        <w:highlight w:val="none"/>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7"/>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334A1"/>
    <w:rsid w:val="012C4847"/>
    <w:rsid w:val="01350DE7"/>
    <w:rsid w:val="01361AF4"/>
    <w:rsid w:val="016E7F8E"/>
    <w:rsid w:val="01B31280"/>
    <w:rsid w:val="01B40D75"/>
    <w:rsid w:val="021555D4"/>
    <w:rsid w:val="021D04A1"/>
    <w:rsid w:val="02261C62"/>
    <w:rsid w:val="024B3345"/>
    <w:rsid w:val="02DB2964"/>
    <w:rsid w:val="02E62FD5"/>
    <w:rsid w:val="03065425"/>
    <w:rsid w:val="03100052"/>
    <w:rsid w:val="031510C2"/>
    <w:rsid w:val="036B5288"/>
    <w:rsid w:val="037151E1"/>
    <w:rsid w:val="039667A9"/>
    <w:rsid w:val="03B37E16"/>
    <w:rsid w:val="045521C0"/>
    <w:rsid w:val="04752381"/>
    <w:rsid w:val="04B77E1B"/>
    <w:rsid w:val="04E86B91"/>
    <w:rsid w:val="051C4A8C"/>
    <w:rsid w:val="057A4CBC"/>
    <w:rsid w:val="057E6063"/>
    <w:rsid w:val="058066CB"/>
    <w:rsid w:val="05C23886"/>
    <w:rsid w:val="05C704E5"/>
    <w:rsid w:val="05CD3FD8"/>
    <w:rsid w:val="05F92325"/>
    <w:rsid w:val="06314567"/>
    <w:rsid w:val="063B43C4"/>
    <w:rsid w:val="0696261C"/>
    <w:rsid w:val="06ED4932"/>
    <w:rsid w:val="070B648C"/>
    <w:rsid w:val="070F0EB1"/>
    <w:rsid w:val="071C0D73"/>
    <w:rsid w:val="07C1191B"/>
    <w:rsid w:val="07C733D5"/>
    <w:rsid w:val="07EF4BAF"/>
    <w:rsid w:val="07F651B2"/>
    <w:rsid w:val="07FD6DF7"/>
    <w:rsid w:val="07FE2B6F"/>
    <w:rsid w:val="080F08D8"/>
    <w:rsid w:val="080F6EB3"/>
    <w:rsid w:val="087D2707"/>
    <w:rsid w:val="08874873"/>
    <w:rsid w:val="08A246B6"/>
    <w:rsid w:val="08C90A87"/>
    <w:rsid w:val="08E2175A"/>
    <w:rsid w:val="08E86D98"/>
    <w:rsid w:val="091A3AFD"/>
    <w:rsid w:val="091A7535"/>
    <w:rsid w:val="092959CA"/>
    <w:rsid w:val="093079A7"/>
    <w:rsid w:val="093357B6"/>
    <w:rsid w:val="093A3733"/>
    <w:rsid w:val="09497E1A"/>
    <w:rsid w:val="096E507E"/>
    <w:rsid w:val="098B2E89"/>
    <w:rsid w:val="09B93081"/>
    <w:rsid w:val="09BC05EC"/>
    <w:rsid w:val="09C23581"/>
    <w:rsid w:val="09CF1D1C"/>
    <w:rsid w:val="09F2400E"/>
    <w:rsid w:val="0A122959"/>
    <w:rsid w:val="0A27015B"/>
    <w:rsid w:val="0A2C258D"/>
    <w:rsid w:val="0A594804"/>
    <w:rsid w:val="0A595E3B"/>
    <w:rsid w:val="0A64398C"/>
    <w:rsid w:val="0A8E01DA"/>
    <w:rsid w:val="0AA30A0F"/>
    <w:rsid w:val="0AA95014"/>
    <w:rsid w:val="0B2F5EE6"/>
    <w:rsid w:val="0B3F3282"/>
    <w:rsid w:val="0B52745A"/>
    <w:rsid w:val="0B73411E"/>
    <w:rsid w:val="0B7531C1"/>
    <w:rsid w:val="0B927856"/>
    <w:rsid w:val="0B9B717C"/>
    <w:rsid w:val="0BA47589"/>
    <w:rsid w:val="0BE679C5"/>
    <w:rsid w:val="0BF240CE"/>
    <w:rsid w:val="0BFC7E4B"/>
    <w:rsid w:val="0C922261"/>
    <w:rsid w:val="0D061A34"/>
    <w:rsid w:val="0D16652A"/>
    <w:rsid w:val="0D362577"/>
    <w:rsid w:val="0DD95C10"/>
    <w:rsid w:val="0E6059EA"/>
    <w:rsid w:val="0E7E40C2"/>
    <w:rsid w:val="0E981627"/>
    <w:rsid w:val="0EB977F0"/>
    <w:rsid w:val="0EBF06B3"/>
    <w:rsid w:val="0EC046DA"/>
    <w:rsid w:val="0ED6170B"/>
    <w:rsid w:val="0F0A1726"/>
    <w:rsid w:val="0F250413"/>
    <w:rsid w:val="0F366148"/>
    <w:rsid w:val="0F397BD0"/>
    <w:rsid w:val="0F550FDD"/>
    <w:rsid w:val="0F5A5DEE"/>
    <w:rsid w:val="0F9C43AC"/>
    <w:rsid w:val="0FDC5544"/>
    <w:rsid w:val="0FED4458"/>
    <w:rsid w:val="1009687D"/>
    <w:rsid w:val="100E1475"/>
    <w:rsid w:val="101958FA"/>
    <w:rsid w:val="104715C8"/>
    <w:rsid w:val="10A83678"/>
    <w:rsid w:val="10B63FE7"/>
    <w:rsid w:val="110169DD"/>
    <w:rsid w:val="110519DE"/>
    <w:rsid w:val="112167F7"/>
    <w:rsid w:val="114E56F1"/>
    <w:rsid w:val="11754AA2"/>
    <w:rsid w:val="118C4D48"/>
    <w:rsid w:val="11AC062A"/>
    <w:rsid w:val="11C81293"/>
    <w:rsid w:val="11DF756D"/>
    <w:rsid w:val="11E64458"/>
    <w:rsid w:val="11EE155E"/>
    <w:rsid w:val="12614426"/>
    <w:rsid w:val="126F307B"/>
    <w:rsid w:val="127B54E8"/>
    <w:rsid w:val="128679E9"/>
    <w:rsid w:val="12940358"/>
    <w:rsid w:val="12A45D7C"/>
    <w:rsid w:val="12BF111A"/>
    <w:rsid w:val="12D348F4"/>
    <w:rsid w:val="12E642C5"/>
    <w:rsid w:val="13122331"/>
    <w:rsid w:val="13734411"/>
    <w:rsid w:val="13A520F1"/>
    <w:rsid w:val="13B3480E"/>
    <w:rsid w:val="13B47B12"/>
    <w:rsid w:val="13D33784"/>
    <w:rsid w:val="13E17988"/>
    <w:rsid w:val="144E09DA"/>
    <w:rsid w:val="147E12BF"/>
    <w:rsid w:val="1497412F"/>
    <w:rsid w:val="14A867BA"/>
    <w:rsid w:val="15121860"/>
    <w:rsid w:val="15255580"/>
    <w:rsid w:val="15354710"/>
    <w:rsid w:val="158226FC"/>
    <w:rsid w:val="15B73F81"/>
    <w:rsid w:val="15ED5421"/>
    <w:rsid w:val="164B7F88"/>
    <w:rsid w:val="164E501A"/>
    <w:rsid w:val="16510882"/>
    <w:rsid w:val="165A3666"/>
    <w:rsid w:val="16A829C8"/>
    <w:rsid w:val="16B97788"/>
    <w:rsid w:val="16BB6B10"/>
    <w:rsid w:val="16C3120C"/>
    <w:rsid w:val="17231CAA"/>
    <w:rsid w:val="172D7C57"/>
    <w:rsid w:val="17306175"/>
    <w:rsid w:val="173447A6"/>
    <w:rsid w:val="174D4F79"/>
    <w:rsid w:val="175B20F3"/>
    <w:rsid w:val="17773DA4"/>
    <w:rsid w:val="17963C4F"/>
    <w:rsid w:val="18172C26"/>
    <w:rsid w:val="1837788A"/>
    <w:rsid w:val="18552C87"/>
    <w:rsid w:val="185760AF"/>
    <w:rsid w:val="18786866"/>
    <w:rsid w:val="187C78C4"/>
    <w:rsid w:val="189F2090"/>
    <w:rsid w:val="18BE7F2C"/>
    <w:rsid w:val="18C179CD"/>
    <w:rsid w:val="18D3325C"/>
    <w:rsid w:val="18EC11CC"/>
    <w:rsid w:val="18F12F99"/>
    <w:rsid w:val="191066C0"/>
    <w:rsid w:val="193E063E"/>
    <w:rsid w:val="195C14A3"/>
    <w:rsid w:val="1977008B"/>
    <w:rsid w:val="199242DA"/>
    <w:rsid w:val="19DE010A"/>
    <w:rsid w:val="19EA4D01"/>
    <w:rsid w:val="19F04A32"/>
    <w:rsid w:val="19F65454"/>
    <w:rsid w:val="1A0F6516"/>
    <w:rsid w:val="1A1B4229"/>
    <w:rsid w:val="1A710F7F"/>
    <w:rsid w:val="1A7867B1"/>
    <w:rsid w:val="1AC80762"/>
    <w:rsid w:val="1ADF5069"/>
    <w:rsid w:val="1AEA387D"/>
    <w:rsid w:val="1AEE7569"/>
    <w:rsid w:val="1AF13F4E"/>
    <w:rsid w:val="1B4B5C73"/>
    <w:rsid w:val="1B646045"/>
    <w:rsid w:val="1B6B7632"/>
    <w:rsid w:val="1B79458F"/>
    <w:rsid w:val="1B8A3DF0"/>
    <w:rsid w:val="1B962C97"/>
    <w:rsid w:val="1BA0121F"/>
    <w:rsid w:val="1BBC0CDF"/>
    <w:rsid w:val="1BD43C10"/>
    <w:rsid w:val="1C085913"/>
    <w:rsid w:val="1C5C5E9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5170FD"/>
    <w:rsid w:val="1E682B71"/>
    <w:rsid w:val="1E7E1EBC"/>
    <w:rsid w:val="1E950B87"/>
    <w:rsid w:val="1EEC5078"/>
    <w:rsid w:val="1F2436EE"/>
    <w:rsid w:val="1F555A28"/>
    <w:rsid w:val="1F78690B"/>
    <w:rsid w:val="1F971487"/>
    <w:rsid w:val="1F9E265D"/>
    <w:rsid w:val="1F9E2816"/>
    <w:rsid w:val="20017B78"/>
    <w:rsid w:val="20146634"/>
    <w:rsid w:val="20371C5D"/>
    <w:rsid w:val="206A7742"/>
    <w:rsid w:val="20735A50"/>
    <w:rsid w:val="20D82AA8"/>
    <w:rsid w:val="20F62AC1"/>
    <w:rsid w:val="2121508A"/>
    <w:rsid w:val="215F7869"/>
    <w:rsid w:val="21731A80"/>
    <w:rsid w:val="2181453C"/>
    <w:rsid w:val="218F6BDF"/>
    <w:rsid w:val="21A864C6"/>
    <w:rsid w:val="21D36836"/>
    <w:rsid w:val="21D83A4F"/>
    <w:rsid w:val="21DA1AFF"/>
    <w:rsid w:val="21E5465A"/>
    <w:rsid w:val="222075E8"/>
    <w:rsid w:val="22484CBB"/>
    <w:rsid w:val="224F7DF7"/>
    <w:rsid w:val="2268710B"/>
    <w:rsid w:val="22806203"/>
    <w:rsid w:val="22902F40"/>
    <w:rsid w:val="22B50F5F"/>
    <w:rsid w:val="22CA6707"/>
    <w:rsid w:val="22D0224B"/>
    <w:rsid w:val="22D9209E"/>
    <w:rsid w:val="23292DEE"/>
    <w:rsid w:val="237315E6"/>
    <w:rsid w:val="237E5663"/>
    <w:rsid w:val="23893C14"/>
    <w:rsid w:val="238B4E5F"/>
    <w:rsid w:val="23BC69DE"/>
    <w:rsid w:val="23FB6A9C"/>
    <w:rsid w:val="242553BF"/>
    <w:rsid w:val="244565E9"/>
    <w:rsid w:val="244F4AE8"/>
    <w:rsid w:val="249704C6"/>
    <w:rsid w:val="250255F5"/>
    <w:rsid w:val="25037266"/>
    <w:rsid w:val="251E5554"/>
    <w:rsid w:val="251E5C20"/>
    <w:rsid w:val="25AD6BEE"/>
    <w:rsid w:val="25B3069D"/>
    <w:rsid w:val="25C92931"/>
    <w:rsid w:val="260350B1"/>
    <w:rsid w:val="264D72F1"/>
    <w:rsid w:val="265754CC"/>
    <w:rsid w:val="265956E8"/>
    <w:rsid w:val="266A3452"/>
    <w:rsid w:val="267C3185"/>
    <w:rsid w:val="26840D1D"/>
    <w:rsid w:val="26D12A66"/>
    <w:rsid w:val="26FC6074"/>
    <w:rsid w:val="272D447F"/>
    <w:rsid w:val="274233CC"/>
    <w:rsid w:val="27530AB3"/>
    <w:rsid w:val="27797CA0"/>
    <w:rsid w:val="279A4A28"/>
    <w:rsid w:val="27A6495D"/>
    <w:rsid w:val="27C76682"/>
    <w:rsid w:val="27D74B17"/>
    <w:rsid w:val="27DC1CDD"/>
    <w:rsid w:val="27EB2537"/>
    <w:rsid w:val="28140F26"/>
    <w:rsid w:val="287B7B98"/>
    <w:rsid w:val="28A21574"/>
    <w:rsid w:val="28B74948"/>
    <w:rsid w:val="28BC5ABB"/>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AC32B5"/>
    <w:rsid w:val="2BD6435B"/>
    <w:rsid w:val="2BEE242F"/>
    <w:rsid w:val="2C071743"/>
    <w:rsid w:val="2C251BC9"/>
    <w:rsid w:val="2C3D5164"/>
    <w:rsid w:val="2C574F23"/>
    <w:rsid w:val="2C5D1363"/>
    <w:rsid w:val="2C8F5C76"/>
    <w:rsid w:val="2C976789"/>
    <w:rsid w:val="2CB74F17"/>
    <w:rsid w:val="2CD5539D"/>
    <w:rsid w:val="2CD930DF"/>
    <w:rsid w:val="2CED0939"/>
    <w:rsid w:val="2CFC6DCE"/>
    <w:rsid w:val="2D3C672F"/>
    <w:rsid w:val="2D73008E"/>
    <w:rsid w:val="2D7746A6"/>
    <w:rsid w:val="2DB9081B"/>
    <w:rsid w:val="2DC2524D"/>
    <w:rsid w:val="2DDC3B25"/>
    <w:rsid w:val="2DE45DA4"/>
    <w:rsid w:val="2E884DBD"/>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5D4027"/>
    <w:rsid w:val="30860645"/>
    <w:rsid w:val="3095731D"/>
    <w:rsid w:val="30A05CC2"/>
    <w:rsid w:val="311357F0"/>
    <w:rsid w:val="313E701E"/>
    <w:rsid w:val="31556AAC"/>
    <w:rsid w:val="319A55BF"/>
    <w:rsid w:val="31AA6DF8"/>
    <w:rsid w:val="31D6175A"/>
    <w:rsid w:val="32056724"/>
    <w:rsid w:val="320F2F73"/>
    <w:rsid w:val="322457A6"/>
    <w:rsid w:val="32270449"/>
    <w:rsid w:val="32286055"/>
    <w:rsid w:val="32292413"/>
    <w:rsid w:val="323E2D9E"/>
    <w:rsid w:val="325D3E6B"/>
    <w:rsid w:val="326D60A4"/>
    <w:rsid w:val="32990C1B"/>
    <w:rsid w:val="32C878DC"/>
    <w:rsid w:val="32E33E0A"/>
    <w:rsid w:val="331C5AD4"/>
    <w:rsid w:val="33550FE6"/>
    <w:rsid w:val="33714DE0"/>
    <w:rsid w:val="33A51F6D"/>
    <w:rsid w:val="33A66D0B"/>
    <w:rsid w:val="33C235E5"/>
    <w:rsid w:val="33F16F60"/>
    <w:rsid w:val="33FA7FDE"/>
    <w:rsid w:val="34060A77"/>
    <w:rsid w:val="341D7990"/>
    <w:rsid w:val="34232E92"/>
    <w:rsid w:val="344C063B"/>
    <w:rsid w:val="34702FC1"/>
    <w:rsid w:val="34831B82"/>
    <w:rsid w:val="34951FE2"/>
    <w:rsid w:val="34981A47"/>
    <w:rsid w:val="34DF14AF"/>
    <w:rsid w:val="34FE0851"/>
    <w:rsid w:val="353E271C"/>
    <w:rsid w:val="35834662"/>
    <w:rsid w:val="35967A25"/>
    <w:rsid w:val="35C42453"/>
    <w:rsid w:val="35FD171E"/>
    <w:rsid w:val="360351E1"/>
    <w:rsid w:val="362453B7"/>
    <w:rsid w:val="364B2EA2"/>
    <w:rsid w:val="3660217B"/>
    <w:rsid w:val="36625EF3"/>
    <w:rsid w:val="3680281D"/>
    <w:rsid w:val="369167D9"/>
    <w:rsid w:val="369A3033"/>
    <w:rsid w:val="36CC359C"/>
    <w:rsid w:val="36E25286"/>
    <w:rsid w:val="36FF24D3"/>
    <w:rsid w:val="37332A92"/>
    <w:rsid w:val="37360462"/>
    <w:rsid w:val="373D426B"/>
    <w:rsid w:val="37510AB2"/>
    <w:rsid w:val="375815A3"/>
    <w:rsid w:val="37702892"/>
    <w:rsid w:val="379B79CD"/>
    <w:rsid w:val="37B02C8E"/>
    <w:rsid w:val="37B41B51"/>
    <w:rsid w:val="37C4673A"/>
    <w:rsid w:val="37CB5D1A"/>
    <w:rsid w:val="37EB3CC7"/>
    <w:rsid w:val="38060B00"/>
    <w:rsid w:val="382C4A0B"/>
    <w:rsid w:val="38316B2B"/>
    <w:rsid w:val="38417C3D"/>
    <w:rsid w:val="38607FE7"/>
    <w:rsid w:val="38700A53"/>
    <w:rsid w:val="38742119"/>
    <w:rsid w:val="38775827"/>
    <w:rsid w:val="38A327F3"/>
    <w:rsid w:val="38E27F47"/>
    <w:rsid w:val="38E47094"/>
    <w:rsid w:val="38E70932"/>
    <w:rsid w:val="38FD0DA2"/>
    <w:rsid w:val="395D29A2"/>
    <w:rsid w:val="39731517"/>
    <w:rsid w:val="39B900E6"/>
    <w:rsid w:val="39C639DF"/>
    <w:rsid w:val="39CE564E"/>
    <w:rsid w:val="39DF5AAD"/>
    <w:rsid w:val="39FB78A4"/>
    <w:rsid w:val="3A047BBE"/>
    <w:rsid w:val="3A0E1EEE"/>
    <w:rsid w:val="3A157721"/>
    <w:rsid w:val="3A4D4334"/>
    <w:rsid w:val="3A5A5133"/>
    <w:rsid w:val="3AA20FB4"/>
    <w:rsid w:val="3ABE6841"/>
    <w:rsid w:val="3AC06564"/>
    <w:rsid w:val="3AD13648"/>
    <w:rsid w:val="3B091033"/>
    <w:rsid w:val="3B0929FD"/>
    <w:rsid w:val="3B4644B1"/>
    <w:rsid w:val="3B5A2C29"/>
    <w:rsid w:val="3B8E3F09"/>
    <w:rsid w:val="3B8E778B"/>
    <w:rsid w:val="3B911F9A"/>
    <w:rsid w:val="3BB30436"/>
    <w:rsid w:val="3BBE6635"/>
    <w:rsid w:val="3BE12799"/>
    <w:rsid w:val="3BFC46F4"/>
    <w:rsid w:val="3C1A7270"/>
    <w:rsid w:val="3C206CA5"/>
    <w:rsid w:val="3C583787"/>
    <w:rsid w:val="3C5D07B3"/>
    <w:rsid w:val="3C852E22"/>
    <w:rsid w:val="3CA90EAA"/>
    <w:rsid w:val="3DA92031"/>
    <w:rsid w:val="3DAA0180"/>
    <w:rsid w:val="3DBF01B1"/>
    <w:rsid w:val="3DC460AC"/>
    <w:rsid w:val="3DD07BE6"/>
    <w:rsid w:val="3DEE40AB"/>
    <w:rsid w:val="3DF41609"/>
    <w:rsid w:val="3DFC6C2D"/>
    <w:rsid w:val="3E0D61A2"/>
    <w:rsid w:val="3E0D64A3"/>
    <w:rsid w:val="3E1D2E8D"/>
    <w:rsid w:val="3E391C30"/>
    <w:rsid w:val="3E4745F6"/>
    <w:rsid w:val="3E733815"/>
    <w:rsid w:val="3E864749"/>
    <w:rsid w:val="3E875F02"/>
    <w:rsid w:val="3E907559"/>
    <w:rsid w:val="3EEF46C5"/>
    <w:rsid w:val="3F344452"/>
    <w:rsid w:val="3F463877"/>
    <w:rsid w:val="3F4D1B56"/>
    <w:rsid w:val="3F4D5E52"/>
    <w:rsid w:val="3F5860E5"/>
    <w:rsid w:val="3F79434E"/>
    <w:rsid w:val="3F8C5D8F"/>
    <w:rsid w:val="40003EF7"/>
    <w:rsid w:val="401364B0"/>
    <w:rsid w:val="403935C0"/>
    <w:rsid w:val="40507E8F"/>
    <w:rsid w:val="40774C91"/>
    <w:rsid w:val="407E080C"/>
    <w:rsid w:val="409475F1"/>
    <w:rsid w:val="409A272E"/>
    <w:rsid w:val="40B530C4"/>
    <w:rsid w:val="40B71100"/>
    <w:rsid w:val="40C87861"/>
    <w:rsid w:val="40CB28E7"/>
    <w:rsid w:val="41562AF9"/>
    <w:rsid w:val="415648A7"/>
    <w:rsid w:val="418A706A"/>
    <w:rsid w:val="419053B3"/>
    <w:rsid w:val="41941A91"/>
    <w:rsid w:val="41A610E5"/>
    <w:rsid w:val="41CA0DF1"/>
    <w:rsid w:val="41EC71F4"/>
    <w:rsid w:val="41F141BC"/>
    <w:rsid w:val="4201227E"/>
    <w:rsid w:val="423C1CEE"/>
    <w:rsid w:val="426021EA"/>
    <w:rsid w:val="426D56E2"/>
    <w:rsid w:val="42865627"/>
    <w:rsid w:val="42B9333F"/>
    <w:rsid w:val="431542ED"/>
    <w:rsid w:val="433C007A"/>
    <w:rsid w:val="43543068"/>
    <w:rsid w:val="4355099C"/>
    <w:rsid w:val="43704724"/>
    <w:rsid w:val="438D135D"/>
    <w:rsid w:val="43AA0EDA"/>
    <w:rsid w:val="43D47D05"/>
    <w:rsid w:val="43E51B3F"/>
    <w:rsid w:val="43F80B8E"/>
    <w:rsid w:val="444162D1"/>
    <w:rsid w:val="4456510D"/>
    <w:rsid w:val="44A86EB4"/>
    <w:rsid w:val="44F56185"/>
    <w:rsid w:val="45596713"/>
    <w:rsid w:val="456C7183"/>
    <w:rsid w:val="45784442"/>
    <w:rsid w:val="457C5ABC"/>
    <w:rsid w:val="459C2AA4"/>
    <w:rsid w:val="45A11AC0"/>
    <w:rsid w:val="45B93656"/>
    <w:rsid w:val="45CC3317"/>
    <w:rsid w:val="45DC596D"/>
    <w:rsid w:val="45E2495B"/>
    <w:rsid w:val="45F7547E"/>
    <w:rsid w:val="46080139"/>
    <w:rsid w:val="46257A25"/>
    <w:rsid w:val="462E5DF2"/>
    <w:rsid w:val="467001B9"/>
    <w:rsid w:val="468E1CD7"/>
    <w:rsid w:val="46A27424"/>
    <w:rsid w:val="46C10A14"/>
    <w:rsid w:val="46DC7B3E"/>
    <w:rsid w:val="46E22739"/>
    <w:rsid w:val="47023331"/>
    <w:rsid w:val="470B1C8F"/>
    <w:rsid w:val="4712301E"/>
    <w:rsid w:val="473A4323"/>
    <w:rsid w:val="476B4E24"/>
    <w:rsid w:val="47AD71EA"/>
    <w:rsid w:val="482B75F4"/>
    <w:rsid w:val="48392779"/>
    <w:rsid w:val="4873677B"/>
    <w:rsid w:val="48A4239B"/>
    <w:rsid w:val="48DB1B35"/>
    <w:rsid w:val="48EB62F6"/>
    <w:rsid w:val="48F7696F"/>
    <w:rsid w:val="49080B7C"/>
    <w:rsid w:val="490B41C9"/>
    <w:rsid w:val="492C693D"/>
    <w:rsid w:val="49425710"/>
    <w:rsid w:val="497E529F"/>
    <w:rsid w:val="49A168DB"/>
    <w:rsid w:val="49AB59AC"/>
    <w:rsid w:val="49C76797"/>
    <w:rsid w:val="49CC415F"/>
    <w:rsid w:val="4A1F5AEB"/>
    <w:rsid w:val="4A41429A"/>
    <w:rsid w:val="4A424BDB"/>
    <w:rsid w:val="4A4A2ACF"/>
    <w:rsid w:val="4A7C3AE3"/>
    <w:rsid w:val="4AA448D5"/>
    <w:rsid w:val="4AB63425"/>
    <w:rsid w:val="4AE90539"/>
    <w:rsid w:val="4B105AC6"/>
    <w:rsid w:val="4B410375"/>
    <w:rsid w:val="4B44381C"/>
    <w:rsid w:val="4B5C51AF"/>
    <w:rsid w:val="4B605282"/>
    <w:rsid w:val="4B9C37FE"/>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EE2C78"/>
    <w:rsid w:val="4EEF1E97"/>
    <w:rsid w:val="4EF643A0"/>
    <w:rsid w:val="4F0C7DFC"/>
    <w:rsid w:val="4F313AD1"/>
    <w:rsid w:val="4F336227"/>
    <w:rsid w:val="4F652159"/>
    <w:rsid w:val="4FD33566"/>
    <w:rsid w:val="4FF81A09"/>
    <w:rsid w:val="500A55F3"/>
    <w:rsid w:val="502B6EFE"/>
    <w:rsid w:val="50406E4E"/>
    <w:rsid w:val="505A5A36"/>
    <w:rsid w:val="507A1C34"/>
    <w:rsid w:val="50AA2519"/>
    <w:rsid w:val="50D5718E"/>
    <w:rsid w:val="5119144D"/>
    <w:rsid w:val="514101B0"/>
    <w:rsid w:val="515F33A9"/>
    <w:rsid w:val="51C71460"/>
    <w:rsid w:val="521B6B6B"/>
    <w:rsid w:val="52383978"/>
    <w:rsid w:val="5240739F"/>
    <w:rsid w:val="528154FB"/>
    <w:rsid w:val="52921B62"/>
    <w:rsid w:val="5299285F"/>
    <w:rsid w:val="52A870F2"/>
    <w:rsid w:val="52C579C7"/>
    <w:rsid w:val="537C0582"/>
    <w:rsid w:val="53BC6A69"/>
    <w:rsid w:val="53E73A84"/>
    <w:rsid w:val="53FD6E04"/>
    <w:rsid w:val="543F373B"/>
    <w:rsid w:val="54436345"/>
    <w:rsid w:val="545B02BD"/>
    <w:rsid w:val="546F3610"/>
    <w:rsid w:val="54A43723"/>
    <w:rsid w:val="54A93561"/>
    <w:rsid w:val="54BB71CA"/>
    <w:rsid w:val="54DC4C6B"/>
    <w:rsid w:val="54FB274C"/>
    <w:rsid w:val="55005FA2"/>
    <w:rsid w:val="551F7D4E"/>
    <w:rsid w:val="552503C0"/>
    <w:rsid w:val="554E029E"/>
    <w:rsid w:val="554E4663"/>
    <w:rsid w:val="55782BE6"/>
    <w:rsid w:val="55AF46B2"/>
    <w:rsid w:val="55C17D82"/>
    <w:rsid w:val="55F935FB"/>
    <w:rsid w:val="56002C87"/>
    <w:rsid w:val="56496330"/>
    <w:rsid w:val="56755377"/>
    <w:rsid w:val="56835CE6"/>
    <w:rsid w:val="56BC4D54"/>
    <w:rsid w:val="56C96C4A"/>
    <w:rsid w:val="56D461F8"/>
    <w:rsid w:val="56D57BC4"/>
    <w:rsid w:val="56E17156"/>
    <w:rsid w:val="57037CBF"/>
    <w:rsid w:val="570F58A3"/>
    <w:rsid w:val="57361164"/>
    <w:rsid w:val="576A29D6"/>
    <w:rsid w:val="579D4B86"/>
    <w:rsid w:val="57A37CC2"/>
    <w:rsid w:val="57D305A7"/>
    <w:rsid w:val="57F671F9"/>
    <w:rsid w:val="580E215D"/>
    <w:rsid w:val="582541A6"/>
    <w:rsid w:val="582C415B"/>
    <w:rsid w:val="58385019"/>
    <w:rsid w:val="58A42B0B"/>
    <w:rsid w:val="58B926A1"/>
    <w:rsid w:val="58BD456D"/>
    <w:rsid w:val="58CB2B78"/>
    <w:rsid w:val="58E660B8"/>
    <w:rsid w:val="58ED189D"/>
    <w:rsid w:val="58F20F01"/>
    <w:rsid w:val="593E1512"/>
    <w:rsid w:val="59725B9E"/>
    <w:rsid w:val="59A541C5"/>
    <w:rsid w:val="59C574F9"/>
    <w:rsid w:val="59C75EEA"/>
    <w:rsid w:val="59EA1BD8"/>
    <w:rsid w:val="5A2E7D17"/>
    <w:rsid w:val="5A3D1A35"/>
    <w:rsid w:val="5A8407A5"/>
    <w:rsid w:val="5A8E2EAB"/>
    <w:rsid w:val="5A9768BB"/>
    <w:rsid w:val="5AA27806"/>
    <w:rsid w:val="5AD453E9"/>
    <w:rsid w:val="5AE14A08"/>
    <w:rsid w:val="5B305D11"/>
    <w:rsid w:val="5B340651"/>
    <w:rsid w:val="5B406354"/>
    <w:rsid w:val="5B461090"/>
    <w:rsid w:val="5B527A35"/>
    <w:rsid w:val="5B865931"/>
    <w:rsid w:val="5BA142A2"/>
    <w:rsid w:val="5BA4371F"/>
    <w:rsid w:val="5BAC49EF"/>
    <w:rsid w:val="5BB6101F"/>
    <w:rsid w:val="5BFD2097"/>
    <w:rsid w:val="5C084598"/>
    <w:rsid w:val="5C211BAA"/>
    <w:rsid w:val="5C2F67DE"/>
    <w:rsid w:val="5C943B57"/>
    <w:rsid w:val="5CAE070B"/>
    <w:rsid w:val="5CFE628D"/>
    <w:rsid w:val="5D0D6309"/>
    <w:rsid w:val="5D186A5C"/>
    <w:rsid w:val="5D1C479E"/>
    <w:rsid w:val="5D1D42CB"/>
    <w:rsid w:val="5D2D68A5"/>
    <w:rsid w:val="5D616655"/>
    <w:rsid w:val="5D6800DA"/>
    <w:rsid w:val="5DA93817"/>
    <w:rsid w:val="5DCD5A99"/>
    <w:rsid w:val="5DD23E14"/>
    <w:rsid w:val="5E1E62F4"/>
    <w:rsid w:val="5E306B45"/>
    <w:rsid w:val="5E3A4E64"/>
    <w:rsid w:val="5E5F0DE7"/>
    <w:rsid w:val="5E6B04E2"/>
    <w:rsid w:val="5E826883"/>
    <w:rsid w:val="5EA507C4"/>
    <w:rsid w:val="5EAF7A90"/>
    <w:rsid w:val="5ED15115"/>
    <w:rsid w:val="5ED3320E"/>
    <w:rsid w:val="5EFD415C"/>
    <w:rsid w:val="5F021772"/>
    <w:rsid w:val="5F0B720E"/>
    <w:rsid w:val="5F394B84"/>
    <w:rsid w:val="5F950838"/>
    <w:rsid w:val="5FBB21ED"/>
    <w:rsid w:val="5FE04F0E"/>
    <w:rsid w:val="6005776C"/>
    <w:rsid w:val="60116111"/>
    <w:rsid w:val="601452B8"/>
    <w:rsid w:val="60186E2A"/>
    <w:rsid w:val="602F6597"/>
    <w:rsid w:val="604400DF"/>
    <w:rsid w:val="604852CF"/>
    <w:rsid w:val="605E50CE"/>
    <w:rsid w:val="606326E4"/>
    <w:rsid w:val="60787F3E"/>
    <w:rsid w:val="608A6980"/>
    <w:rsid w:val="608B40CB"/>
    <w:rsid w:val="60956D42"/>
    <w:rsid w:val="60A26D69"/>
    <w:rsid w:val="60B91957"/>
    <w:rsid w:val="60C21FB0"/>
    <w:rsid w:val="61003EE6"/>
    <w:rsid w:val="614C40D8"/>
    <w:rsid w:val="615E35D8"/>
    <w:rsid w:val="61763B7A"/>
    <w:rsid w:val="61791C83"/>
    <w:rsid w:val="619012B7"/>
    <w:rsid w:val="61972646"/>
    <w:rsid w:val="61AB33DE"/>
    <w:rsid w:val="620A5BE8"/>
    <w:rsid w:val="62123080"/>
    <w:rsid w:val="622D4D58"/>
    <w:rsid w:val="62397BA1"/>
    <w:rsid w:val="6263311E"/>
    <w:rsid w:val="627C6782"/>
    <w:rsid w:val="629D1EDE"/>
    <w:rsid w:val="62BA64AF"/>
    <w:rsid w:val="62CA6A4B"/>
    <w:rsid w:val="63250FDB"/>
    <w:rsid w:val="633A3BD0"/>
    <w:rsid w:val="63462575"/>
    <w:rsid w:val="635F1F96"/>
    <w:rsid w:val="63A363CE"/>
    <w:rsid w:val="63A64DC2"/>
    <w:rsid w:val="63C705E7"/>
    <w:rsid w:val="63D23E09"/>
    <w:rsid w:val="63D45E04"/>
    <w:rsid w:val="63E37DC4"/>
    <w:rsid w:val="63F20838"/>
    <w:rsid w:val="640970FF"/>
    <w:rsid w:val="6420377A"/>
    <w:rsid w:val="642D103F"/>
    <w:rsid w:val="64430863"/>
    <w:rsid w:val="64906183"/>
    <w:rsid w:val="64AC6408"/>
    <w:rsid w:val="64B2680A"/>
    <w:rsid w:val="64CE15B4"/>
    <w:rsid w:val="65085608"/>
    <w:rsid w:val="65B47696"/>
    <w:rsid w:val="65DC2D1D"/>
    <w:rsid w:val="660C3353"/>
    <w:rsid w:val="6612673F"/>
    <w:rsid w:val="661A1A97"/>
    <w:rsid w:val="66346B47"/>
    <w:rsid w:val="664F7894"/>
    <w:rsid w:val="66591422"/>
    <w:rsid w:val="665F56FC"/>
    <w:rsid w:val="666D4530"/>
    <w:rsid w:val="66A31A8D"/>
    <w:rsid w:val="66CD217C"/>
    <w:rsid w:val="66CF4630"/>
    <w:rsid w:val="66E25B21"/>
    <w:rsid w:val="66F145A6"/>
    <w:rsid w:val="66F4722E"/>
    <w:rsid w:val="678119CC"/>
    <w:rsid w:val="67996867"/>
    <w:rsid w:val="67B6759E"/>
    <w:rsid w:val="67CE7CD1"/>
    <w:rsid w:val="683F6FB2"/>
    <w:rsid w:val="688D00D0"/>
    <w:rsid w:val="689504FE"/>
    <w:rsid w:val="68CD1043"/>
    <w:rsid w:val="68E04376"/>
    <w:rsid w:val="691427CE"/>
    <w:rsid w:val="69203165"/>
    <w:rsid w:val="69222C40"/>
    <w:rsid w:val="6962178B"/>
    <w:rsid w:val="69AC0C58"/>
    <w:rsid w:val="69B008CB"/>
    <w:rsid w:val="69B33D95"/>
    <w:rsid w:val="69CD41FA"/>
    <w:rsid w:val="69CE6E20"/>
    <w:rsid w:val="69EE17A9"/>
    <w:rsid w:val="6A333B7F"/>
    <w:rsid w:val="6A3979C4"/>
    <w:rsid w:val="6A3C6480"/>
    <w:rsid w:val="6A553058"/>
    <w:rsid w:val="6A8D49AB"/>
    <w:rsid w:val="6AAD6FB1"/>
    <w:rsid w:val="6ACA3A8C"/>
    <w:rsid w:val="6AD93CCF"/>
    <w:rsid w:val="6AF208ED"/>
    <w:rsid w:val="6B10677D"/>
    <w:rsid w:val="6B132303"/>
    <w:rsid w:val="6B1747F7"/>
    <w:rsid w:val="6B1B7628"/>
    <w:rsid w:val="6B27793D"/>
    <w:rsid w:val="6BDF5315"/>
    <w:rsid w:val="6C0C1E82"/>
    <w:rsid w:val="6C2028B1"/>
    <w:rsid w:val="6C2B2308"/>
    <w:rsid w:val="6C8934D3"/>
    <w:rsid w:val="6CAB169B"/>
    <w:rsid w:val="6CC05DE7"/>
    <w:rsid w:val="6CC60554"/>
    <w:rsid w:val="6CE527ED"/>
    <w:rsid w:val="6CE86349"/>
    <w:rsid w:val="6CF748E0"/>
    <w:rsid w:val="6CFC3CA5"/>
    <w:rsid w:val="6D1C790D"/>
    <w:rsid w:val="6D5F16F8"/>
    <w:rsid w:val="6D605FE2"/>
    <w:rsid w:val="6D662157"/>
    <w:rsid w:val="6D8B0C49"/>
    <w:rsid w:val="6D967C55"/>
    <w:rsid w:val="6D9B34BE"/>
    <w:rsid w:val="6DAB2632"/>
    <w:rsid w:val="6DAF51BB"/>
    <w:rsid w:val="6DBE2C46"/>
    <w:rsid w:val="6E377E41"/>
    <w:rsid w:val="6E5523E8"/>
    <w:rsid w:val="6E565636"/>
    <w:rsid w:val="6E6155D7"/>
    <w:rsid w:val="6E7A30D3"/>
    <w:rsid w:val="6E895A0C"/>
    <w:rsid w:val="6E9C129B"/>
    <w:rsid w:val="6EA67860"/>
    <w:rsid w:val="6ECB392F"/>
    <w:rsid w:val="6F3239AE"/>
    <w:rsid w:val="6F62173E"/>
    <w:rsid w:val="6F6F59DB"/>
    <w:rsid w:val="6F81633F"/>
    <w:rsid w:val="6F8B0168"/>
    <w:rsid w:val="6FD607DD"/>
    <w:rsid w:val="6FEF189F"/>
    <w:rsid w:val="702B7CF6"/>
    <w:rsid w:val="70334C37"/>
    <w:rsid w:val="703E0C41"/>
    <w:rsid w:val="70457711"/>
    <w:rsid w:val="70480FAF"/>
    <w:rsid w:val="70492056"/>
    <w:rsid w:val="706E6C67"/>
    <w:rsid w:val="707B3132"/>
    <w:rsid w:val="709B1645"/>
    <w:rsid w:val="70A22DB5"/>
    <w:rsid w:val="70B008E6"/>
    <w:rsid w:val="70D87871"/>
    <w:rsid w:val="711204A8"/>
    <w:rsid w:val="7161057A"/>
    <w:rsid w:val="718C1A5E"/>
    <w:rsid w:val="71A05546"/>
    <w:rsid w:val="71A36DE5"/>
    <w:rsid w:val="72133F6A"/>
    <w:rsid w:val="72525067"/>
    <w:rsid w:val="72584D8B"/>
    <w:rsid w:val="7291103E"/>
    <w:rsid w:val="72C74D55"/>
    <w:rsid w:val="72E51CF5"/>
    <w:rsid w:val="73245D03"/>
    <w:rsid w:val="73335F46"/>
    <w:rsid w:val="73401F9F"/>
    <w:rsid w:val="734F26EE"/>
    <w:rsid w:val="736507F6"/>
    <w:rsid w:val="73852C46"/>
    <w:rsid w:val="73993FFB"/>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CB20E4"/>
    <w:rsid w:val="75EA4FA0"/>
    <w:rsid w:val="763267CE"/>
    <w:rsid w:val="764C4867"/>
    <w:rsid w:val="765406AD"/>
    <w:rsid w:val="76564426"/>
    <w:rsid w:val="766034F6"/>
    <w:rsid w:val="76816FC9"/>
    <w:rsid w:val="768C2D9E"/>
    <w:rsid w:val="76970762"/>
    <w:rsid w:val="76E77774"/>
    <w:rsid w:val="7701153A"/>
    <w:rsid w:val="77163BB5"/>
    <w:rsid w:val="77237793"/>
    <w:rsid w:val="773567E6"/>
    <w:rsid w:val="773A78A3"/>
    <w:rsid w:val="77466517"/>
    <w:rsid w:val="77471FC0"/>
    <w:rsid w:val="774B6E54"/>
    <w:rsid w:val="77540486"/>
    <w:rsid w:val="775B0CA8"/>
    <w:rsid w:val="776302A3"/>
    <w:rsid w:val="776D4F33"/>
    <w:rsid w:val="778B00FF"/>
    <w:rsid w:val="779A30DE"/>
    <w:rsid w:val="77A92C7B"/>
    <w:rsid w:val="77B22A84"/>
    <w:rsid w:val="77D23F80"/>
    <w:rsid w:val="77D27256"/>
    <w:rsid w:val="77ED460C"/>
    <w:rsid w:val="78014787"/>
    <w:rsid w:val="788039DC"/>
    <w:rsid w:val="788D71B5"/>
    <w:rsid w:val="78911745"/>
    <w:rsid w:val="7892370F"/>
    <w:rsid w:val="78FF2622"/>
    <w:rsid w:val="79014A3B"/>
    <w:rsid w:val="790F6B0E"/>
    <w:rsid w:val="79116D2A"/>
    <w:rsid w:val="79334EF2"/>
    <w:rsid w:val="7953020F"/>
    <w:rsid w:val="79786DA9"/>
    <w:rsid w:val="797F0E4B"/>
    <w:rsid w:val="79932434"/>
    <w:rsid w:val="799A605F"/>
    <w:rsid w:val="79D33FDF"/>
    <w:rsid w:val="7A14272D"/>
    <w:rsid w:val="7A1C14E2"/>
    <w:rsid w:val="7A2A00A3"/>
    <w:rsid w:val="7A356A48"/>
    <w:rsid w:val="7A3C13BA"/>
    <w:rsid w:val="7A9419C0"/>
    <w:rsid w:val="7AAD65DE"/>
    <w:rsid w:val="7AD52C47"/>
    <w:rsid w:val="7AE61E7C"/>
    <w:rsid w:val="7AF35A5A"/>
    <w:rsid w:val="7B1E74DC"/>
    <w:rsid w:val="7B2A608F"/>
    <w:rsid w:val="7B2F5245"/>
    <w:rsid w:val="7B3D3E06"/>
    <w:rsid w:val="7B5A3D2E"/>
    <w:rsid w:val="7B66034F"/>
    <w:rsid w:val="7B7525C8"/>
    <w:rsid w:val="7B841A35"/>
    <w:rsid w:val="7BEC5C53"/>
    <w:rsid w:val="7BFA3AA5"/>
    <w:rsid w:val="7C2154D6"/>
    <w:rsid w:val="7C586BB5"/>
    <w:rsid w:val="7C591CE4"/>
    <w:rsid w:val="7C5C4760"/>
    <w:rsid w:val="7C694787"/>
    <w:rsid w:val="7C7066DF"/>
    <w:rsid w:val="7C7D67DA"/>
    <w:rsid w:val="7CA67789"/>
    <w:rsid w:val="7CD739D6"/>
    <w:rsid w:val="7CD84D85"/>
    <w:rsid w:val="7CDC1934"/>
    <w:rsid w:val="7CEC561B"/>
    <w:rsid w:val="7CF624BE"/>
    <w:rsid w:val="7D0A74F5"/>
    <w:rsid w:val="7D1110A6"/>
    <w:rsid w:val="7D20578D"/>
    <w:rsid w:val="7D4F7E21"/>
    <w:rsid w:val="7D670C49"/>
    <w:rsid w:val="7D6B2A90"/>
    <w:rsid w:val="7D7752AC"/>
    <w:rsid w:val="7D823D52"/>
    <w:rsid w:val="7DD722F0"/>
    <w:rsid w:val="7DE84849"/>
    <w:rsid w:val="7DFF3D0F"/>
    <w:rsid w:val="7E1852BA"/>
    <w:rsid w:val="7E36750B"/>
    <w:rsid w:val="7E3C6773"/>
    <w:rsid w:val="7E4C69A0"/>
    <w:rsid w:val="7E605F74"/>
    <w:rsid w:val="7E6E42D6"/>
    <w:rsid w:val="7E7C10BD"/>
    <w:rsid w:val="7E8B6C36"/>
    <w:rsid w:val="7EAF6DC9"/>
    <w:rsid w:val="7EB62184"/>
    <w:rsid w:val="7F1B43E5"/>
    <w:rsid w:val="7F4079CE"/>
    <w:rsid w:val="7F731202"/>
    <w:rsid w:val="7F7818B1"/>
    <w:rsid w:val="7F80761B"/>
    <w:rsid w:val="7FB60069"/>
    <w:rsid w:val="7FB97C76"/>
    <w:rsid w:val="7FBD28AB"/>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4"/>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9">
    <w:name w:val="Normal Indent"/>
    <w:basedOn w:val="1"/>
    <w:autoRedefine/>
    <w:qFormat/>
    <w:uiPriority w:val="0"/>
    <w:pPr>
      <w:ind w:firstLine="420" w:firstLineChars="200"/>
    </w:pPr>
  </w:style>
  <w:style w:type="paragraph" w:styleId="10">
    <w:name w:val="annotation text"/>
    <w:basedOn w:val="1"/>
    <w:autoRedefine/>
    <w:semiHidden/>
    <w:qFormat/>
    <w:uiPriority w:val="99"/>
    <w:pPr>
      <w:jc w:val="left"/>
    </w:pPr>
  </w:style>
  <w:style w:type="paragraph" w:styleId="11">
    <w:name w:val="Body Text"/>
    <w:basedOn w:val="1"/>
    <w:autoRedefine/>
    <w:qFormat/>
    <w:uiPriority w:val="1"/>
    <w:rPr>
      <w:sz w:val="21"/>
      <w:szCs w:val="21"/>
    </w:rPr>
  </w:style>
  <w:style w:type="paragraph" w:styleId="12">
    <w:name w:val="Body Text Indent"/>
    <w:basedOn w:val="1"/>
    <w:autoRedefine/>
    <w:qFormat/>
    <w:uiPriority w:val="0"/>
    <w:pPr>
      <w:spacing w:after="120"/>
      <w:ind w:left="420" w:leftChars="200"/>
    </w:pPr>
  </w:style>
  <w:style w:type="paragraph" w:styleId="13">
    <w:name w:val="Plain Text"/>
    <w:basedOn w:val="1"/>
    <w:autoRedefine/>
    <w:unhideWhenUsed/>
    <w:qFormat/>
    <w:uiPriority w:val="0"/>
    <w:rPr>
      <w:rFonts w:ascii="Courier New" w:hAnsi="Courier New" w:cs="Courier New"/>
    </w:rPr>
  </w:style>
  <w:style w:type="paragraph" w:styleId="14">
    <w:name w:val="Date"/>
    <w:basedOn w:val="1"/>
    <w:next w:val="1"/>
    <w:autoRedefine/>
    <w:qFormat/>
    <w:uiPriority w:val="0"/>
    <w:pPr>
      <w:ind w:left="100" w:leftChars="2500"/>
    </w:pPr>
    <w:rPr>
      <w:sz w:val="24"/>
      <w:szCs w:val="24"/>
    </w:rPr>
  </w:style>
  <w:style w:type="paragraph" w:styleId="15">
    <w:name w:val="Body Text Indent 2"/>
    <w:basedOn w:val="1"/>
    <w:qFormat/>
    <w:uiPriority w:val="0"/>
    <w:pPr>
      <w:topLinePunct/>
      <w:spacing w:line="500" w:lineRule="exact"/>
      <w:ind w:firstLine="664"/>
    </w:pPr>
    <w:rPr>
      <w:rFonts w:ascii="仿宋_GB2312" w:eastAsia="仿宋_GB2312"/>
      <w:sz w:val="24"/>
      <w:szCs w:val="20"/>
    </w:rPr>
  </w:style>
  <w:style w:type="paragraph" w:styleId="16">
    <w:name w:val="footer"/>
    <w:basedOn w:val="1"/>
    <w:autoRedefine/>
    <w:qFormat/>
    <w:uiPriority w:val="0"/>
    <w:pPr>
      <w:tabs>
        <w:tab w:val="center" w:pos="4153"/>
        <w:tab w:val="right" w:pos="8306"/>
      </w:tabs>
      <w:snapToGrid w:val="0"/>
    </w:pPr>
    <w:rPr>
      <w:sz w:val="18"/>
      <w:szCs w:val="18"/>
    </w:rPr>
  </w:style>
  <w:style w:type="paragraph" w:styleId="17">
    <w:name w:val="envelope return"/>
    <w:basedOn w:val="1"/>
    <w:qFormat/>
    <w:uiPriority w:val="0"/>
    <w:rPr>
      <w:rFonts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3"/>
      <w:ind w:left="114"/>
    </w:pPr>
    <w:rPr>
      <w:sz w:val="28"/>
      <w:szCs w:val="28"/>
    </w:rPr>
  </w:style>
  <w:style w:type="paragraph" w:styleId="20">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21">
    <w:name w:val="Normal (Web)"/>
    <w:basedOn w:val="1"/>
    <w:autoRedefine/>
    <w:qFormat/>
    <w:uiPriority w:val="0"/>
    <w:pPr>
      <w:spacing w:before="100" w:beforeAutospacing="1" w:after="100" w:afterAutospacing="1"/>
    </w:pPr>
    <w:rPr>
      <w:rFonts w:cs="Times New Roman"/>
      <w:sz w:val="24"/>
      <w:lang w:val="en-US" w:bidi="ar-SA"/>
    </w:rPr>
  </w:style>
  <w:style w:type="paragraph" w:styleId="22">
    <w:name w:val="Body Text First Indent 2"/>
    <w:basedOn w:val="12"/>
    <w:next w:val="1"/>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autoRedefine/>
    <w:qFormat/>
    <w:uiPriority w:val="0"/>
    <w:rPr>
      <w:color w:val="0000FF"/>
      <w:u w:val="single"/>
    </w:rPr>
  </w:style>
  <w:style w:type="paragraph" w:customStyle="1" w:styleId="28">
    <w:name w:val="正文2"/>
    <w:basedOn w:val="9"/>
    <w:next w:val="1"/>
    <w:autoRedefine/>
    <w:qFormat/>
    <w:uiPriority w:val="0"/>
    <w:pPr>
      <w:ind w:firstLine="570"/>
    </w:pPr>
    <w:rPr>
      <w:rFonts w:ascii="仿宋" w:hAnsi="仿宋" w:eastAsia="仿宋"/>
      <w:sz w:val="20"/>
    </w:rPr>
  </w:style>
  <w:style w:type="paragraph" w:customStyle="1" w:styleId="29">
    <w:name w:val="Default"/>
    <w:basedOn w:val="30"/>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正文_1"/>
    <w:basedOn w:val="31"/>
    <w:qFormat/>
    <w:uiPriority w:val="99"/>
    <w:rPr>
      <w:rFonts w:ascii="Calibri" w:hAnsi="Calibri"/>
      <w:sz w:val="21"/>
    </w:rPr>
  </w:style>
  <w:style w:type="paragraph" w:customStyle="1" w:styleId="3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2">
    <w:name w:val="表格文字"/>
    <w:basedOn w:val="1"/>
    <w:autoRedefine/>
    <w:qFormat/>
    <w:uiPriority w:val="0"/>
    <w:pPr>
      <w:spacing w:line="420" w:lineRule="atLeast"/>
      <w:jc w:val="left"/>
    </w:pPr>
    <w:rPr>
      <w:szCs w:val="20"/>
    </w:rPr>
  </w:style>
  <w:style w:type="paragraph" w:customStyle="1" w:styleId="33">
    <w:name w:val="列出段落3"/>
    <w:basedOn w:val="1"/>
    <w:autoRedefine/>
    <w:unhideWhenUsed/>
    <w:qFormat/>
    <w:uiPriority w:val="99"/>
    <w:pPr>
      <w:ind w:firstLine="420" w:firstLineChars="200"/>
    </w:pPr>
  </w:style>
  <w:style w:type="paragraph" w:customStyle="1" w:styleId="34">
    <w:name w:val="列出段落1"/>
    <w:basedOn w:val="1"/>
    <w:autoRedefine/>
    <w:qFormat/>
    <w:uiPriority w:val="1"/>
    <w:pPr>
      <w:ind w:left="352" w:firstLine="420"/>
    </w:pPr>
  </w:style>
  <w:style w:type="paragraph" w:customStyle="1" w:styleId="35">
    <w:name w:val="Table Paragraph"/>
    <w:basedOn w:val="1"/>
    <w:autoRedefine/>
    <w:qFormat/>
    <w:uiPriority w:val="1"/>
  </w:style>
  <w:style w:type="paragraph" w:customStyle="1" w:styleId="36">
    <w:name w:val="Table Text"/>
    <w:basedOn w:val="1"/>
    <w:autoRedefine/>
    <w:semiHidden/>
    <w:qFormat/>
    <w:uiPriority w:val="0"/>
    <w:rPr>
      <w:rFonts w:ascii="宋体" w:hAnsi="宋体" w:eastAsia="宋体" w:cs="宋体"/>
      <w:sz w:val="15"/>
      <w:szCs w:val="15"/>
      <w:lang w:val="en-US" w:eastAsia="en-US" w:bidi="ar-SA"/>
    </w:rPr>
  </w:style>
  <w:style w:type="table" w:customStyle="1" w:styleId="37">
    <w:name w:val="Table Normal"/>
    <w:autoRedefine/>
    <w:unhideWhenUsed/>
    <w:qFormat/>
    <w:uiPriority w:val="2"/>
    <w:tblPr>
      <w:tblCellMar>
        <w:top w:w="0" w:type="dxa"/>
        <w:left w:w="0" w:type="dxa"/>
        <w:bottom w:w="0" w:type="dxa"/>
        <w:right w:w="0" w:type="dxa"/>
      </w:tblCellMar>
    </w:tblPr>
  </w:style>
  <w:style w:type="paragraph" w:customStyle="1" w:styleId="38">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9">
    <w:name w:val="正文首行缩进1"/>
    <w:basedOn w:val="11"/>
    <w:qFormat/>
    <w:uiPriority w:val="0"/>
    <w:pPr>
      <w:ind w:firstLine="420" w:firstLineChars="100"/>
    </w:pPr>
  </w:style>
  <w:style w:type="paragraph" w:customStyle="1" w:styleId="40">
    <w:name w:val="null3"/>
    <w:qFormat/>
    <w:uiPriority w:val="0"/>
    <w:rPr>
      <w:rFonts w:hint="eastAsia" w:ascii="Calibri" w:hAnsi="Calibri" w:eastAsia="宋体" w:cs="Times New Roman"/>
      <w:lang w:val="en-US" w:eastAsia="zh-Hans"/>
    </w:rPr>
  </w:style>
  <w:style w:type="paragraph" w:customStyle="1" w:styleId="41">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标题 1 字符"/>
    <w:link w:val="2"/>
    <w:autoRedefine/>
    <w:qFormat/>
    <w:uiPriority w:val="9"/>
    <w:rPr>
      <w:b/>
      <w:bCs/>
      <w:sz w:val="44"/>
      <w:szCs w:val="44"/>
    </w:rPr>
  </w:style>
  <w:style w:type="paragraph" w:styleId="45">
    <w:name w:val="List Paragraph"/>
    <w:basedOn w:val="1"/>
    <w:autoRedefine/>
    <w:qFormat/>
    <w:uiPriority w:val="1"/>
    <w:pPr>
      <w:spacing w:before="109"/>
      <w:ind w:left="117" w:firstLine="440"/>
    </w:pPr>
  </w:style>
  <w:style w:type="paragraph" w:customStyle="1" w:styleId="46">
    <w:name w:val="样式王"/>
    <w:basedOn w:val="1"/>
    <w:qFormat/>
    <w:uiPriority w:val="0"/>
    <w:rPr>
      <w:rFonts w:ascii="Times New Roman" w:hAnsi="Times New Roman" w:eastAsia="宋体" w:cs="Times New Roman"/>
      <w:szCs w:val="24"/>
    </w:rPr>
  </w:style>
  <w:style w:type="paragraph" w:customStyle="1" w:styleId="47">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8">
    <w:name w:val="font51"/>
    <w:basedOn w:val="25"/>
    <w:qFormat/>
    <w:uiPriority w:val="0"/>
    <w:rPr>
      <w:rFonts w:hint="eastAsia" w:ascii="宋体" w:hAnsi="宋体" w:eastAsia="宋体" w:cs="宋体"/>
      <w:color w:val="000000"/>
      <w:sz w:val="22"/>
      <w:szCs w:val="22"/>
      <w:u w:val="none"/>
    </w:rPr>
  </w:style>
  <w:style w:type="character" w:customStyle="1" w:styleId="49">
    <w:name w:val="font11"/>
    <w:basedOn w:val="25"/>
    <w:autoRedefine/>
    <w:qFormat/>
    <w:uiPriority w:val="0"/>
    <w:rPr>
      <w:rFonts w:hint="eastAsia" w:ascii="宋体" w:hAnsi="宋体" w:eastAsia="宋体" w:cs="宋体"/>
      <w:color w:val="000000"/>
      <w:sz w:val="28"/>
      <w:szCs w:val="28"/>
      <w:u w:val="none"/>
    </w:rPr>
  </w:style>
  <w:style w:type="character" w:customStyle="1" w:styleId="50">
    <w:name w:val="font41"/>
    <w:basedOn w:val="25"/>
    <w:qFormat/>
    <w:uiPriority w:val="0"/>
    <w:rPr>
      <w:rFonts w:hint="default" w:ascii="Times New Roman" w:hAnsi="Times New Roman" w:cs="Times New Roman"/>
      <w:color w:val="000000"/>
      <w:sz w:val="28"/>
      <w:szCs w:val="28"/>
      <w:u w:val="none"/>
    </w:rPr>
  </w:style>
  <w:style w:type="character" w:customStyle="1" w:styleId="51">
    <w:name w:val="font01"/>
    <w:basedOn w:val="25"/>
    <w:qFormat/>
    <w:uiPriority w:val="0"/>
    <w:rPr>
      <w:rFonts w:hint="eastAsia" w:ascii="宋体" w:hAnsi="宋体" w:eastAsia="宋体" w:cs="宋体"/>
      <w:color w:val="000000"/>
      <w:sz w:val="22"/>
      <w:szCs w:val="22"/>
      <w:u w:val="none"/>
    </w:rPr>
  </w:style>
  <w:style w:type="character" w:customStyle="1" w:styleId="52">
    <w:name w:val="font21"/>
    <w:basedOn w:val="25"/>
    <w:qFormat/>
    <w:uiPriority w:val="0"/>
    <w:rPr>
      <w:rFonts w:hint="default" w:ascii="Times New Roman" w:hAnsi="Times New Roman" w:cs="Times New Roman"/>
      <w:color w:val="000000"/>
      <w:sz w:val="22"/>
      <w:szCs w:val="22"/>
      <w:u w:val="none"/>
    </w:rPr>
  </w:style>
  <w:style w:type="character" w:customStyle="1" w:styleId="53">
    <w:name w:val="font31"/>
    <w:basedOn w:val="25"/>
    <w:qFormat/>
    <w:uiPriority w:val="0"/>
    <w:rPr>
      <w:rFonts w:hint="eastAsia" w:ascii="宋体" w:hAnsi="宋体" w:eastAsia="宋体" w:cs="宋体"/>
      <w:b/>
      <w:bCs/>
      <w:color w:val="000000"/>
      <w:sz w:val="22"/>
      <w:szCs w:val="22"/>
      <w:u w:val="none"/>
    </w:rPr>
  </w:style>
  <w:style w:type="character" w:customStyle="1" w:styleId="54">
    <w:name w:val="font61"/>
    <w:basedOn w:val="25"/>
    <w:qFormat/>
    <w:uiPriority w:val="0"/>
    <w:rPr>
      <w:rFonts w:hint="eastAsia" w:ascii="宋体" w:hAnsi="宋体" w:eastAsia="宋体" w:cs="宋体"/>
      <w:color w:val="000000"/>
      <w:sz w:val="22"/>
      <w:szCs w:val="22"/>
      <w:u w:val="none"/>
    </w:rPr>
  </w:style>
  <w:style w:type="character" w:customStyle="1" w:styleId="55">
    <w:name w:val="font81"/>
    <w:basedOn w:val="25"/>
    <w:qFormat/>
    <w:uiPriority w:val="0"/>
    <w:rPr>
      <w:rFonts w:hint="eastAsia" w:ascii="宋体" w:hAnsi="宋体" w:eastAsia="宋体" w:cs="宋体"/>
      <w:color w:val="000000"/>
      <w:sz w:val="22"/>
      <w:szCs w:val="22"/>
      <w:u w:val="none"/>
    </w:rPr>
  </w:style>
  <w:style w:type="character" w:customStyle="1" w:styleId="56">
    <w:name w:val="font71"/>
    <w:basedOn w:val="25"/>
    <w:qFormat/>
    <w:uiPriority w:val="0"/>
    <w:rPr>
      <w:rFonts w:hint="eastAsia" w:ascii="宋体" w:hAnsi="宋体" w:eastAsia="宋体" w:cs="宋体"/>
      <w:color w:val="000000"/>
      <w:sz w:val="22"/>
      <w:szCs w:val="22"/>
      <w:u w:val="none"/>
    </w:rPr>
  </w:style>
  <w:style w:type="character" w:customStyle="1" w:styleId="57">
    <w:name w:val="font91"/>
    <w:basedOn w:val="25"/>
    <w:qFormat/>
    <w:uiPriority w:val="0"/>
    <w:rPr>
      <w:rFonts w:hint="eastAsia" w:ascii="宋体" w:hAnsi="宋体" w:eastAsia="宋体" w:cs="宋体"/>
      <w:color w:val="000000"/>
      <w:sz w:val="22"/>
      <w:szCs w:val="22"/>
      <w:u w:val="none"/>
      <w:vertAlign w:val="superscript"/>
    </w:rPr>
  </w:style>
  <w:style w:type="character" w:customStyle="1" w:styleId="58">
    <w:name w:val="font111"/>
    <w:basedOn w:val="25"/>
    <w:qFormat/>
    <w:uiPriority w:val="0"/>
    <w:rPr>
      <w:rFonts w:hint="eastAsia" w:ascii="宋体" w:hAnsi="宋体" w:eastAsia="宋体" w:cs="宋体"/>
      <w:color w:val="000000"/>
      <w:sz w:val="22"/>
      <w:szCs w:val="22"/>
      <w:u w:val="none"/>
    </w:rPr>
  </w:style>
  <w:style w:type="character" w:customStyle="1" w:styleId="59">
    <w:name w:val="font122"/>
    <w:basedOn w:val="25"/>
    <w:qFormat/>
    <w:uiPriority w:val="0"/>
    <w:rPr>
      <w:rFonts w:ascii="Wingdings 2" w:hAnsi="Wingdings 2" w:eastAsia="Wingdings 2" w:cs="Wingdings 2"/>
      <w:color w:val="000000"/>
      <w:sz w:val="24"/>
      <w:szCs w:val="24"/>
      <w:u w:val="none"/>
    </w:rPr>
  </w:style>
  <w:style w:type="character" w:customStyle="1" w:styleId="60">
    <w:name w:val="font131"/>
    <w:basedOn w:val="25"/>
    <w:qFormat/>
    <w:uiPriority w:val="0"/>
    <w:rPr>
      <w:rFonts w:hint="eastAsia" w:ascii="宋体" w:hAnsi="宋体" w:eastAsia="宋体" w:cs="宋体"/>
      <w:color w:val="000000"/>
      <w:sz w:val="24"/>
      <w:szCs w:val="24"/>
      <w:u w:val="none"/>
    </w:rPr>
  </w:style>
  <w:style w:type="character" w:customStyle="1" w:styleId="61">
    <w:name w:val="font101"/>
    <w:basedOn w:val="25"/>
    <w:qFormat/>
    <w:uiPriority w:val="0"/>
    <w:rPr>
      <w:rFonts w:ascii="Symbol" w:hAnsi="Symbol" w:cs="Symbol"/>
      <w:color w:val="000000"/>
      <w:sz w:val="24"/>
      <w:szCs w:val="24"/>
      <w:u w:val="none"/>
    </w:rPr>
  </w:style>
  <w:style w:type="character" w:customStyle="1" w:styleId="62">
    <w:name w:val="font141"/>
    <w:basedOn w:val="25"/>
    <w:qFormat/>
    <w:uiPriority w:val="0"/>
    <w:rPr>
      <w:rFonts w:hint="default" w:ascii="Wingdings 2" w:hAnsi="Wingdings 2" w:eastAsia="Wingdings 2" w:cs="Wingdings 2"/>
      <w:color w:val="000000"/>
      <w:sz w:val="24"/>
      <w:szCs w:val="24"/>
      <w:u w:val="none"/>
    </w:rPr>
  </w:style>
  <w:style w:type="character" w:customStyle="1" w:styleId="63">
    <w:name w:val="font12"/>
    <w:basedOn w:val="2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3131</Words>
  <Characters>3218</Characters>
  <Lines>0</Lines>
  <Paragraphs>0</Paragraphs>
  <TotalTime>2</TotalTime>
  <ScaleCrop>false</ScaleCrop>
  <LinksUpToDate>false</LinksUpToDate>
  <CharactersWithSpaces>3430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李瑶</cp:lastModifiedBy>
  <cp:lastPrinted>2024-07-26T09:16:00Z</cp:lastPrinted>
  <dcterms:modified xsi:type="dcterms:W3CDTF">2025-11-14T13:07:22Z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35E53B3331EC46D3847DDB32F03CA3E5_13</vt:lpwstr>
  </property>
  <property fmtid="{D5CDD505-2E9C-101B-9397-08002B2CF9AE}" pid="4" name="KSOTemplateDocerSaveRecord">
    <vt:lpwstr>eyJoZGlkIjoiZDdhYTZkYjgyNWVlMGVhNGM2YjQxMDM1NjJkYTlhMGIiLCJ1c2VySWQiOiI0MTExNzMwMzUifQ==</vt:lpwstr>
  </property>
</Properties>
</file>